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53C" w:rsidRPr="000505C5" w:rsidRDefault="00200728" w:rsidP="000505C5">
      <w:pPr>
        <w:ind w:left="4410" w:hanging="540"/>
        <w:rPr>
          <w:rFonts w:ascii="Garamond" w:eastAsia="Times New Roman" w:hAnsi="Garamond" w:cs="Times New Roman"/>
          <w:b/>
          <w:bCs/>
          <w:color w:val="58595B"/>
          <w:kern w:val="36"/>
          <w:sz w:val="36"/>
          <w:szCs w:val="36"/>
        </w:rPr>
      </w:pPr>
      <w:bookmarkStart w:id="0" w:name="_GoBack"/>
      <w:bookmarkEnd w:id="0"/>
      <w:r w:rsidRPr="00627544">
        <w:rPr>
          <w:rFonts w:ascii="Garamond" w:hAnsi="Garamond"/>
          <w:b/>
          <w:noProof/>
          <w:sz w:val="40"/>
          <w:szCs w:val="40"/>
        </w:rPr>
        <w:drawing>
          <wp:anchor distT="0" distB="0" distL="114300" distR="114300" simplePos="0" relativeHeight="251659264" behindDoc="0" locked="0" layoutInCell="1" allowOverlap="1" wp14:anchorId="03ABA378" wp14:editId="6AAAF19B">
            <wp:simplePos x="0" y="0"/>
            <wp:positionH relativeFrom="column">
              <wp:posOffset>2790825</wp:posOffset>
            </wp:positionH>
            <wp:positionV relativeFrom="paragraph">
              <wp:posOffset>-57150</wp:posOffset>
            </wp:positionV>
            <wp:extent cx="3802380" cy="24765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_maroon@2x.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02380" cy="247650"/>
                    </a:xfrm>
                    <a:prstGeom prst="rect">
                      <a:avLst/>
                    </a:prstGeom>
                  </pic:spPr>
                </pic:pic>
              </a:graphicData>
            </a:graphic>
            <wp14:sizeRelH relativeFrom="page">
              <wp14:pctWidth>0</wp14:pctWidth>
            </wp14:sizeRelH>
            <wp14:sizeRelV relativeFrom="page">
              <wp14:pctHeight>0</wp14:pctHeight>
            </wp14:sizeRelV>
          </wp:anchor>
        </w:drawing>
      </w:r>
      <w:r w:rsidR="00BC7281">
        <w:rPr>
          <w:rFonts w:ascii="Garamond" w:eastAsia="Times New Roman" w:hAnsi="Garamond" w:cs="Times New Roman"/>
          <w:b/>
          <w:bCs/>
          <w:color w:val="58595B"/>
          <w:kern w:val="36"/>
          <w:sz w:val="36"/>
          <w:szCs w:val="36"/>
        </w:rPr>
        <w:br/>
      </w:r>
      <w:r w:rsidR="00CF4B62" w:rsidRPr="000505C5">
        <w:rPr>
          <w:rFonts w:ascii="Garamond" w:eastAsia="Times New Roman" w:hAnsi="Garamond" w:cs="Times New Roman"/>
          <w:b/>
          <w:bCs/>
          <w:color w:val="58595B"/>
          <w:kern w:val="36"/>
          <w:sz w:val="36"/>
          <w:szCs w:val="36"/>
        </w:rPr>
        <w:t>Defined Contribution Plan</w:t>
      </w:r>
      <w:r w:rsidRPr="000505C5">
        <w:rPr>
          <w:rFonts w:ascii="Garamond" w:eastAsia="Times New Roman" w:hAnsi="Garamond" w:cs="Times New Roman"/>
          <w:b/>
          <w:bCs/>
          <w:color w:val="58595B"/>
          <w:kern w:val="36"/>
          <w:sz w:val="36"/>
          <w:szCs w:val="36"/>
        </w:rPr>
        <w:t xml:space="preserve"> </w:t>
      </w:r>
      <w:r w:rsidR="00CF4B62" w:rsidRPr="000505C5">
        <w:rPr>
          <w:rFonts w:ascii="Garamond" w:eastAsia="Times New Roman" w:hAnsi="Garamond" w:cs="Times New Roman"/>
          <w:b/>
          <w:bCs/>
          <w:color w:val="58595B"/>
          <w:kern w:val="36"/>
          <w:sz w:val="36"/>
          <w:szCs w:val="36"/>
        </w:rPr>
        <w:t>Universal Availability Notice</w:t>
      </w:r>
      <w:r w:rsidR="00BC7281" w:rsidRPr="000505C5">
        <w:rPr>
          <w:rFonts w:ascii="Garamond" w:eastAsia="Times New Roman" w:hAnsi="Garamond" w:cs="Times New Roman"/>
          <w:b/>
          <w:bCs/>
          <w:color w:val="58595B"/>
          <w:kern w:val="36"/>
          <w:sz w:val="36"/>
          <w:szCs w:val="36"/>
        </w:rPr>
        <w:t xml:space="preserve">      </w:t>
      </w:r>
    </w:p>
    <w:p w:rsidR="00540C17" w:rsidRPr="00DD7182" w:rsidRDefault="00540C17" w:rsidP="00CF4B62">
      <w:pPr>
        <w:pStyle w:val="Default"/>
        <w:spacing w:after="240" w:line="260" w:lineRule="atLeast"/>
        <w:rPr>
          <w:rFonts w:ascii="Times New Roman" w:eastAsiaTheme="minorHAnsi" w:hAnsi="Times New Roman" w:cs="Times New Roman"/>
          <w:color w:val="auto"/>
        </w:rPr>
      </w:pPr>
    </w:p>
    <w:p w:rsidR="008407B4" w:rsidRPr="008407B4" w:rsidRDefault="00CF4B62" w:rsidP="008407B4">
      <w:pPr>
        <w:pStyle w:val="Default"/>
        <w:spacing w:after="240" w:line="260" w:lineRule="atLeast"/>
        <w:jc w:val="both"/>
        <w:rPr>
          <w:rFonts w:ascii="Garamond" w:hAnsi="Garamond"/>
        </w:rPr>
      </w:pPr>
      <w:r w:rsidRPr="000505C5">
        <w:rPr>
          <w:rFonts w:ascii="Garamond" w:eastAsiaTheme="minorHAnsi" w:hAnsi="Garamond" w:cs="Times New Roman"/>
          <w:color w:val="auto"/>
        </w:rPr>
        <w:t>Colgate University (the “Colgate”) provides you with the opportunity to save for your retirement through the Colgate University Defined Contribution Retirement Plan (“Plan”). Colgate would like you to know more about how you can participate in the Plan. Whether you want to enroll in the Plan, or you are already enrolled but wish to change the amount of your deferral, you can accomplish your goal by filling out a “Retirement Plan Salary Reduction Agreement.” You can obtain a copy of the agreement and information on the Plan from Colgate University’s Human Resources Dep</w:t>
      </w:r>
      <w:r w:rsidR="00A912DC">
        <w:rPr>
          <w:rFonts w:ascii="Garamond" w:eastAsiaTheme="minorHAnsi" w:hAnsi="Garamond" w:cs="Times New Roman"/>
          <w:color w:val="auto"/>
        </w:rPr>
        <w:t>artment, by calling 315-228-7565</w:t>
      </w:r>
      <w:r w:rsidRPr="000505C5">
        <w:rPr>
          <w:rFonts w:ascii="Garamond" w:eastAsiaTheme="minorHAnsi" w:hAnsi="Garamond" w:cs="Times New Roman"/>
          <w:color w:val="auto"/>
        </w:rPr>
        <w:t xml:space="preserve"> or on the office website at</w:t>
      </w:r>
      <w:r w:rsidRPr="000505C5">
        <w:rPr>
          <w:rFonts w:ascii="Garamond" w:hAnsi="Garamond" w:cs="Times New Roman"/>
        </w:rPr>
        <w:t xml:space="preserve"> </w:t>
      </w:r>
      <w:hyperlink r:id="rId7" w:history="1">
        <w:r w:rsidR="008407B4" w:rsidRPr="008407B4">
          <w:rPr>
            <w:rStyle w:val="Hyperlink"/>
            <w:rFonts w:ascii="Garamond" w:hAnsi="Garamond"/>
          </w:rPr>
          <w:t>https://www.colgate.edu/about/campus-services-and-resources/faculty-and-staff-employment-forms</w:t>
        </w:r>
      </w:hyperlink>
      <w:r w:rsidR="008407B4">
        <w:rPr>
          <w:rFonts w:ascii="Garamond" w:hAnsi="Garamond"/>
        </w:rPr>
        <w:t>.</w:t>
      </w:r>
    </w:p>
    <w:p w:rsidR="00CF4B62" w:rsidRPr="000505C5" w:rsidRDefault="00CF4B62" w:rsidP="008407B4">
      <w:pPr>
        <w:pStyle w:val="Default"/>
        <w:spacing w:after="240" w:line="260" w:lineRule="atLeast"/>
        <w:jc w:val="both"/>
        <w:rPr>
          <w:rFonts w:ascii="Garamond" w:hAnsi="Garamond" w:cs="Times New Roman"/>
          <w:b/>
        </w:rPr>
      </w:pPr>
      <w:r w:rsidRPr="000505C5">
        <w:rPr>
          <w:rFonts w:ascii="Garamond" w:hAnsi="Garamond" w:cs="Times New Roman"/>
          <w:b/>
        </w:rPr>
        <w:t>Eligibility</w:t>
      </w:r>
    </w:p>
    <w:p w:rsidR="00CF4B62" w:rsidRPr="000505C5" w:rsidRDefault="00CF4B62" w:rsidP="00DE5158">
      <w:pPr>
        <w:autoSpaceDE w:val="0"/>
        <w:autoSpaceDN w:val="0"/>
        <w:adjustRightInd w:val="0"/>
        <w:spacing w:after="240" w:line="260" w:lineRule="atLeast"/>
        <w:jc w:val="both"/>
        <w:rPr>
          <w:rFonts w:ascii="Garamond" w:hAnsi="Garamond" w:cs="Times New Roman"/>
          <w:szCs w:val="24"/>
        </w:rPr>
      </w:pPr>
      <w:r w:rsidRPr="000505C5">
        <w:rPr>
          <w:rFonts w:ascii="Garamond" w:hAnsi="Garamond" w:cs="Times New Roman"/>
          <w:szCs w:val="24"/>
        </w:rPr>
        <w:t>All employees of Colgate University</w:t>
      </w:r>
      <w:r w:rsidR="00C40126">
        <w:rPr>
          <w:rFonts w:ascii="Garamond" w:hAnsi="Garamond" w:cs="Times New Roman"/>
          <w:szCs w:val="24"/>
        </w:rPr>
        <w:t xml:space="preserve"> </w:t>
      </w:r>
      <w:r w:rsidR="00C40126" w:rsidRPr="00DC57A7">
        <w:rPr>
          <w:rFonts w:ascii="Garamond" w:hAnsi="Garamond" w:cs="Times New Roman"/>
          <w:szCs w:val="24"/>
        </w:rPr>
        <w:t xml:space="preserve">and </w:t>
      </w:r>
      <w:r w:rsidR="00DC57A7" w:rsidRPr="00DC57A7">
        <w:rPr>
          <w:rFonts w:ascii="Garamond" w:hAnsi="Garamond" w:cs="Times New Roman"/>
          <w:szCs w:val="24"/>
        </w:rPr>
        <w:t>its</w:t>
      </w:r>
      <w:r w:rsidR="00C40126" w:rsidRPr="00DC57A7">
        <w:rPr>
          <w:rFonts w:ascii="Garamond" w:hAnsi="Garamond" w:cs="Times New Roman"/>
          <w:szCs w:val="24"/>
        </w:rPr>
        <w:t xml:space="preserve"> affiliated LLCs</w:t>
      </w:r>
      <w:r w:rsidRPr="000505C5">
        <w:rPr>
          <w:rFonts w:ascii="Garamond" w:hAnsi="Garamond" w:cs="Times New Roman"/>
          <w:szCs w:val="24"/>
        </w:rPr>
        <w:t xml:space="preserve"> who receive compensation reportable on an IRS Form W-2 are eligible to participate in the Plan</w:t>
      </w:r>
      <w:r w:rsidR="00C40126">
        <w:rPr>
          <w:rFonts w:ascii="Garamond" w:hAnsi="Garamond" w:cs="Times New Roman"/>
          <w:szCs w:val="24"/>
        </w:rPr>
        <w:t xml:space="preserve"> </w:t>
      </w:r>
      <w:r w:rsidR="00DC57A7" w:rsidRPr="00DC57A7">
        <w:rPr>
          <w:rFonts w:ascii="Garamond" w:hAnsi="Garamond" w:cs="Times New Roman"/>
          <w:szCs w:val="24"/>
        </w:rPr>
        <w:t>with</w:t>
      </w:r>
      <w:r w:rsidR="00DC57A7">
        <w:rPr>
          <w:rFonts w:ascii="Garamond" w:hAnsi="Garamond" w:cs="Times New Roman"/>
          <w:szCs w:val="24"/>
        </w:rPr>
        <w:t xml:space="preserve"> </w:t>
      </w:r>
      <w:r w:rsidR="00C40126" w:rsidRPr="00DC57A7">
        <w:rPr>
          <w:rFonts w:ascii="Garamond" w:hAnsi="Garamond" w:cs="Times New Roman"/>
          <w:szCs w:val="24"/>
        </w:rPr>
        <w:t>personal deferrals</w:t>
      </w:r>
      <w:r w:rsidRPr="000505C5">
        <w:rPr>
          <w:rFonts w:ascii="Garamond" w:hAnsi="Garamond" w:cs="Times New Roman"/>
          <w:szCs w:val="24"/>
        </w:rPr>
        <w:t>.</w:t>
      </w:r>
    </w:p>
    <w:p w:rsidR="00CF4B62" w:rsidRPr="000505C5" w:rsidRDefault="00CF4B62" w:rsidP="00DE5158">
      <w:pPr>
        <w:autoSpaceDE w:val="0"/>
        <w:autoSpaceDN w:val="0"/>
        <w:adjustRightInd w:val="0"/>
        <w:spacing w:after="240" w:line="260" w:lineRule="atLeast"/>
        <w:jc w:val="both"/>
        <w:rPr>
          <w:rFonts w:ascii="Garamond" w:hAnsi="Garamond" w:cs="Times New Roman"/>
          <w:szCs w:val="24"/>
        </w:rPr>
      </w:pPr>
      <w:r w:rsidRPr="000505C5">
        <w:rPr>
          <w:rFonts w:ascii="Garamond" w:hAnsi="Garamond" w:cs="Times New Roman"/>
          <w:szCs w:val="24"/>
        </w:rPr>
        <w:t xml:space="preserve">Please take a moment to review the Plan brochure or website before enrolling. Once you are enrolled, you can review and change the amount of your contributions and your investment allocations at any time. The exact date your investment allocations will take effect may vary depending upon the policies of the financial service firm providing the investment options you chose for plan contributions. </w:t>
      </w:r>
    </w:p>
    <w:p w:rsidR="00CF4B62" w:rsidRPr="000505C5" w:rsidRDefault="00CF4B62" w:rsidP="00DE5158">
      <w:pPr>
        <w:autoSpaceDE w:val="0"/>
        <w:autoSpaceDN w:val="0"/>
        <w:adjustRightInd w:val="0"/>
        <w:spacing w:after="240" w:line="260" w:lineRule="atLeast"/>
        <w:jc w:val="both"/>
        <w:rPr>
          <w:rFonts w:ascii="Garamond" w:hAnsi="Garamond" w:cs="Times New Roman"/>
          <w:szCs w:val="24"/>
        </w:rPr>
      </w:pPr>
      <w:r w:rsidRPr="000505C5">
        <w:rPr>
          <w:rFonts w:ascii="Garamond" w:hAnsi="Garamond" w:cs="Times New Roman"/>
          <w:szCs w:val="24"/>
        </w:rPr>
        <w:t>Also, please be aware that the law limits the amount you may defer under this and other</w:t>
      </w:r>
      <w:r w:rsidR="00C21B3E" w:rsidRPr="000505C5">
        <w:rPr>
          <w:rFonts w:ascii="Garamond" w:hAnsi="Garamond" w:cs="Times New Roman"/>
          <w:szCs w:val="24"/>
        </w:rPr>
        <w:t xml:space="preserve"> plans in any tax year. For 20</w:t>
      </w:r>
      <w:r w:rsidR="008407B4">
        <w:rPr>
          <w:rFonts w:ascii="Garamond" w:hAnsi="Garamond" w:cs="Times New Roman"/>
          <w:szCs w:val="24"/>
        </w:rPr>
        <w:t>2</w:t>
      </w:r>
      <w:r w:rsidR="00C12F0F">
        <w:rPr>
          <w:rFonts w:ascii="Garamond" w:hAnsi="Garamond" w:cs="Times New Roman"/>
          <w:szCs w:val="24"/>
        </w:rPr>
        <w:t>1</w:t>
      </w:r>
      <w:r w:rsidRPr="000505C5">
        <w:rPr>
          <w:rFonts w:ascii="Garamond" w:hAnsi="Garamond" w:cs="Times New Roman"/>
          <w:szCs w:val="24"/>
        </w:rPr>
        <w:t>, the limit under all plans</w:t>
      </w:r>
      <w:r w:rsidR="007B2D48" w:rsidRPr="000505C5">
        <w:rPr>
          <w:rFonts w:ascii="Garamond" w:hAnsi="Garamond" w:cs="Times New Roman"/>
          <w:szCs w:val="24"/>
        </w:rPr>
        <w:t xml:space="preserve"> of this type is generally $</w:t>
      </w:r>
      <w:r w:rsidR="00786846" w:rsidRPr="000505C5">
        <w:rPr>
          <w:rFonts w:ascii="Garamond" w:hAnsi="Garamond" w:cs="Times New Roman"/>
          <w:szCs w:val="24"/>
        </w:rPr>
        <w:t>19,</w:t>
      </w:r>
      <w:r w:rsidR="008407B4">
        <w:rPr>
          <w:rFonts w:ascii="Garamond" w:hAnsi="Garamond" w:cs="Times New Roman"/>
          <w:szCs w:val="24"/>
        </w:rPr>
        <w:t>5</w:t>
      </w:r>
      <w:r w:rsidR="00786846" w:rsidRPr="000505C5">
        <w:rPr>
          <w:rFonts w:ascii="Garamond" w:hAnsi="Garamond" w:cs="Times New Roman"/>
          <w:szCs w:val="24"/>
        </w:rPr>
        <w:t>00</w:t>
      </w:r>
      <w:r w:rsidRPr="000505C5">
        <w:rPr>
          <w:rFonts w:ascii="Garamond" w:hAnsi="Garamond" w:cs="Times New Roman"/>
          <w:szCs w:val="24"/>
        </w:rPr>
        <w:t xml:space="preserve"> although larger limits may apply if you are age 50 or over. Each participant only gets one limit for contributions to all 403(b) plans, so if you are also a participant in a 403(b) plan of another employer, your combined contributions to that plan and to the Colgate University Defined Contribution Retirement Plan in 20</w:t>
      </w:r>
      <w:r w:rsidR="008407B4">
        <w:rPr>
          <w:rFonts w:ascii="Garamond" w:hAnsi="Garamond" w:cs="Times New Roman"/>
          <w:szCs w:val="24"/>
        </w:rPr>
        <w:t>2</w:t>
      </w:r>
      <w:r w:rsidR="00C12F0F">
        <w:rPr>
          <w:rFonts w:ascii="Garamond" w:hAnsi="Garamond" w:cs="Times New Roman"/>
          <w:szCs w:val="24"/>
        </w:rPr>
        <w:t>1</w:t>
      </w:r>
      <w:r w:rsidRPr="000505C5">
        <w:rPr>
          <w:rFonts w:ascii="Garamond" w:hAnsi="Garamond" w:cs="Times New Roman"/>
          <w:szCs w:val="24"/>
        </w:rPr>
        <w:t xml:space="preserve"> are generally limited to $</w:t>
      </w:r>
      <w:r w:rsidR="00786846" w:rsidRPr="000505C5">
        <w:rPr>
          <w:rFonts w:ascii="Garamond" w:hAnsi="Garamond" w:cs="Times New Roman"/>
          <w:szCs w:val="24"/>
        </w:rPr>
        <w:t>19,</w:t>
      </w:r>
      <w:r w:rsidR="008407B4">
        <w:rPr>
          <w:rFonts w:ascii="Garamond" w:hAnsi="Garamond" w:cs="Times New Roman"/>
          <w:szCs w:val="24"/>
        </w:rPr>
        <w:t>5</w:t>
      </w:r>
      <w:r w:rsidR="00786846" w:rsidRPr="000505C5">
        <w:rPr>
          <w:rFonts w:ascii="Garamond" w:hAnsi="Garamond" w:cs="Times New Roman"/>
          <w:szCs w:val="24"/>
        </w:rPr>
        <w:t>00</w:t>
      </w:r>
      <w:r w:rsidRPr="000505C5">
        <w:rPr>
          <w:rFonts w:ascii="Garamond" w:hAnsi="Garamond" w:cs="Times New Roman"/>
          <w:szCs w:val="24"/>
        </w:rPr>
        <w:t xml:space="preserve">. If you do participate in more than one 403(b) </w:t>
      </w:r>
      <w:r w:rsidR="0020493D" w:rsidRPr="000505C5">
        <w:rPr>
          <w:rFonts w:ascii="Garamond" w:hAnsi="Garamond" w:cs="Times New Roman"/>
          <w:szCs w:val="24"/>
        </w:rPr>
        <w:t>plans</w:t>
      </w:r>
      <w:r w:rsidRPr="000505C5">
        <w:rPr>
          <w:rFonts w:ascii="Garamond" w:hAnsi="Garamond" w:cs="Times New Roman"/>
          <w:szCs w:val="24"/>
        </w:rPr>
        <w:t xml:space="preserve">, you are responsible for tracking and reporting the amount of all of your contributions to the plans so that the total amount of all your contributions to all plans in which you participate do not exceed the limit. </w:t>
      </w:r>
      <w:r w:rsidR="0020493D" w:rsidRPr="00A912DC">
        <w:rPr>
          <w:rFonts w:ascii="Garamond" w:hAnsi="Garamond" w:cs="Times New Roman"/>
          <w:szCs w:val="24"/>
        </w:rPr>
        <w:t>Also,</w:t>
      </w:r>
      <w:r w:rsidRPr="00A912DC">
        <w:rPr>
          <w:rFonts w:ascii="Garamond" w:hAnsi="Garamond" w:cs="Times New Roman"/>
          <w:szCs w:val="24"/>
        </w:rPr>
        <w:t xml:space="preserve"> the sum of all of your contributions, and those of your employers, to all 403(b) plans that you participate in are genera</w:t>
      </w:r>
      <w:r w:rsidR="00F20F82" w:rsidRPr="00A912DC">
        <w:rPr>
          <w:rFonts w:ascii="Garamond" w:hAnsi="Garamond" w:cs="Times New Roman"/>
          <w:szCs w:val="24"/>
        </w:rPr>
        <w:t>lly limited to the lesser of $5</w:t>
      </w:r>
      <w:r w:rsidR="00A912DC" w:rsidRPr="00A912DC">
        <w:rPr>
          <w:rFonts w:ascii="Garamond" w:hAnsi="Garamond" w:cs="Times New Roman"/>
          <w:szCs w:val="24"/>
        </w:rPr>
        <w:t>8</w:t>
      </w:r>
      <w:r w:rsidRPr="00A912DC">
        <w:rPr>
          <w:rFonts w:ascii="Garamond" w:hAnsi="Garamond" w:cs="Times New Roman"/>
          <w:szCs w:val="24"/>
        </w:rPr>
        <w:t>,000 or 100% of your compensation in 20</w:t>
      </w:r>
      <w:r w:rsidR="008407B4" w:rsidRPr="00A912DC">
        <w:rPr>
          <w:rFonts w:ascii="Garamond" w:hAnsi="Garamond" w:cs="Times New Roman"/>
          <w:szCs w:val="24"/>
        </w:rPr>
        <w:t>2</w:t>
      </w:r>
      <w:r w:rsidR="00C12F0F" w:rsidRPr="00A912DC">
        <w:rPr>
          <w:rFonts w:ascii="Garamond" w:hAnsi="Garamond" w:cs="Times New Roman"/>
          <w:szCs w:val="24"/>
        </w:rPr>
        <w:t>1</w:t>
      </w:r>
      <w:r w:rsidRPr="00A912DC">
        <w:rPr>
          <w:rFonts w:ascii="Garamond" w:hAnsi="Garamond" w:cs="Times New Roman"/>
          <w:szCs w:val="24"/>
        </w:rPr>
        <w:t>.</w:t>
      </w:r>
      <w:r w:rsidRPr="000505C5">
        <w:rPr>
          <w:rFonts w:ascii="Garamond" w:hAnsi="Garamond" w:cs="Times New Roman"/>
          <w:szCs w:val="24"/>
        </w:rPr>
        <w:t xml:space="preserve"> </w:t>
      </w:r>
    </w:p>
    <w:p w:rsidR="00CF4B62" w:rsidRPr="000505C5" w:rsidRDefault="00CF4B62" w:rsidP="00DE5158">
      <w:pPr>
        <w:pStyle w:val="BodyText"/>
        <w:spacing w:after="240" w:line="260" w:lineRule="atLeast"/>
        <w:jc w:val="both"/>
        <w:rPr>
          <w:rFonts w:ascii="Garamond" w:eastAsiaTheme="minorHAnsi" w:hAnsi="Garamond"/>
          <w:sz w:val="24"/>
        </w:rPr>
      </w:pPr>
      <w:r w:rsidRPr="000505C5">
        <w:rPr>
          <w:rFonts w:ascii="Garamond" w:eastAsiaTheme="minorHAnsi" w:hAnsi="Garamond"/>
          <w:sz w:val="24"/>
        </w:rPr>
        <w:t>For further details, or if you have questions, please contact the Human Resources Department at 315-228-</w:t>
      </w:r>
      <w:r w:rsidR="00C40126">
        <w:rPr>
          <w:rFonts w:ascii="Garamond" w:eastAsiaTheme="minorHAnsi" w:hAnsi="Garamond"/>
          <w:sz w:val="24"/>
        </w:rPr>
        <w:t>7565</w:t>
      </w:r>
      <w:r w:rsidRPr="000505C5">
        <w:rPr>
          <w:rFonts w:ascii="Garamond" w:eastAsiaTheme="minorHAnsi" w:hAnsi="Garamond"/>
          <w:sz w:val="24"/>
        </w:rPr>
        <w:t>.</w:t>
      </w:r>
    </w:p>
    <w:p w:rsidR="00CF4B62" w:rsidRPr="001E7941" w:rsidRDefault="00CF4B62" w:rsidP="00DE5158">
      <w:pPr>
        <w:spacing w:after="0" w:line="240" w:lineRule="auto"/>
        <w:jc w:val="both"/>
        <w:rPr>
          <w:rFonts w:ascii="Garamond" w:eastAsia="Times New Roman" w:hAnsi="Garamond" w:cs="Times New Roman"/>
          <w:b/>
          <w:bCs/>
          <w:color w:val="58595B"/>
          <w:kern w:val="36"/>
          <w:sz w:val="36"/>
          <w:szCs w:val="36"/>
          <w14:textFill>
            <w14:solidFill>
              <w14:srgbClr w14:val="58595B">
                <w14:lumMod w14:val="65000"/>
              </w14:srgbClr>
            </w14:solidFill>
          </w14:textFill>
        </w:rPr>
      </w:pPr>
    </w:p>
    <w:p w:rsidR="00A912DC" w:rsidRDefault="00A912DC" w:rsidP="00DE5158">
      <w:pPr>
        <w:spacing w:after="0" w:line="240" w:lineRule="auto"/>
        <w:jc w:val="both"/>
        <w:rPr>
          <w:rFonts w:ascii="Garamond" w:eastAsia="Times New Roman" w:hAnsi="Garamond" w:cs="Times New Roman"/>
          <w:b/>
          <w:bCs/>
          <w:color w:val="58595B"/>
          <w:kern w:val="36"/>
          <w:sz w:val="36"/>
          <w:szCs w:val="36"/>
          <w14:textFill>
            <w14:solidFill>
              <w14:srgbClr w14:val="58595B">
                <w14:lumMod w14:val="65000"/>
              </w14:srgbClr>
            </w14:solidFill>
          </w14:textFill>
        </w:rPr>
      </w:pPr>
    </w:p>
    <w:p w:rsidR="00A912DC" w:rsidRPr="00A912DC" w:rsidRDefault="00A912DC" w:rsidP="00A912DC">
      <w:pPr>
        <w:rPr>
          <w:rFonts w:ascii="Garamond" w:eastAsia="Times New Roman" w:hAnsi="Garamond" w:cs="Times New Roman"/>
          <w:sz w:val="36"/>
          <w:szCs w:val="36"/>
        </w:rPr>
      </w:pPr>
    </w:p>
    <w:p w:rsidR="00A912DC" w:rsidRPr="00A912DC" w:rsidRDefault="00A912DC" w:rsidP="00A912DC">
      <w:pPr>
        <w:rPr>
          <w:rFonts w:ascii="Garamond" w:eastAsia="Times New Roman" w:hAnsi="Garamond" w:cs="Times New Roman"/>
          <w:sz w:val="36"/>
          <w:szCs w:val="36"/>
        </w:rPr>
      </w:pPr>
    </w:p>
    <w:p w:rsidR="00A912DC" w:rsidRPr="00A912DC" w:rsidRDefault="00A912DC" w:rsidP="00A912DC">
      <w:pPr>
        <w:rPr>
          <w:rFonts w:ascii="Garamond" w:eastAsia="Times New Roman" w:hAnsi="Garamond" w:cs="Times New Roman"/>
          <w:sz w:val="36"/>
          <w:szCs w:val="36"/>
        </w:rPr>
      </w:pPr>
    </w:p>
    <w:p w:rsidR="00A912DC" w:rsidRPr="00A912DC" w:rsidRDefault="00A912DC" w:rsidP="00A912DC">
      <w:pPr>
        <w:rPr>
          <w:rFonts w:ascii="Garamond" w:eastAsia="Times New Roman" w:hAnsi="Garamond" w:cs="Times New Roman"/>
          <w:sz w:val="36"/>
          <w:szCs w:val="36"/>
        </w:rPr>
      </w:pPr>
    </w:p>
    <w:p w:rsidR="000C1171" w:rsidRPr="00A912DC" w:rsidRDefault="000C1171" w:rsidP="00A912DC">
      <w:pPr>
        <w:rPr>
          <w:rFonts w:ascii="Garamond" w:eastAsia="Times New Roman" w:hAnsi="Garamond" w:cs="Times New Roman"/>
          <w:sz w:val="36"/>
          <w:szCs w:val="36"/>
        </w:rPr>
      </w:pPr>
    </w:p>
    <w:sectPr w:rsidR="000C1171" w:rsidRPr="00A912DC" w:rsidSect="00BC728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C20" w:rsidRDefault="00355C20" w:rsidP="00355C20">
      <w:pPr>
        <w:spacing w:after="0" w:line="240" w:lineRule="auto"/>
      </w:pPr>
      <w:r>
        <w:separator/>
      </w:r>
    </w:p>
  </w:endnote>
  <w:endnote w:type="continuationSeparator" w:id="0">
    <w:p w:rsidR="00355C20" w:rsidRDefault="00355C20" w:rsidP="00355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2DC" w:rsidRPr="00A912DC" w:rsidRDefault="00A912DC">
    <w:pPr>
      <w:pStyle w:val="Footer"/>
      <w:rPr>
        <w:rFonts w:ascii="Garamond" w:hAnsi="Garamond"/>
        <w:sz w:val="18"/>
        <w:szCs w:val="18"/>
      </w:rPr>
    </w:pPr>
    <w:r w:rsidRPr="00A912DC">
      <w:rPr>
        <w:rFonts w:ascii="Garamond" w:hAnsi="Garamond"/>
        <w:sz w:val="18"/>
        <w:szCs w:val="18"/>
      </w:rPr>
      <w:t>Rev. 10/2020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C20" w:rsidRDefault="00355C20" w:rsidP="00355C20">
      <w:pPr>
        <w:spacing w:after="0" w:line="240" w:lineRule="auto"/>
      </w:pPr>
      <w:r>
        <w:separator/>
      </w:r>
    </w:p>
  </w:footnote>
  <w:footnote w:type="continuationSeparator" w:id="0">
    <w:p w:rsidR="00355C20" w:rsidRDefault="00355C20" w:rsidP="00355C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E7E"/>
    <w:rsid w:val="00000395"/>
    <w:rsid w:val="000219E6"/>
    <w:rsid w:val="000505C5"/>
    <w:rsid w:val="00085E7E"/>
    <w:rsid w:val="000863FE"/>
    <w:rsid w:val="000B36AA"/>
    <w:rsid w:val="000C1171"/>
    <w:rsid w:val="0010753C"/>
    <w:rsid w:val="00112F94"/>
    <w:rsid w:val="001232E9"/>
    <w:rsid w:val="001C2B1A"/>
    <w:rsid w:val="001D5AC7"/>
    <w:rsid w:val="001E7941"/>
    <w:rsid w:val="00200728"/>
    <w:rsid w:val="0020493D"/>
    <w:rsid w:val="0023211C"/>
    <w:rsid w:val="0025149E"/>
    <w:rsid w:val="002666A2"/>
    <w:rsid w:val="00287A85"/>
    <w:rsid w:val="003473AE"/>
    <w:rsid w:val="00355C20"/>
    <w:rsid w:val="003936D6"/>
    <w:rsid w:val="0041316B"/>
    <w:rsid w:val="00464BF9"/>
    <w:rsid w:val="00485BEB"/>
    <w:rsid w:val="004A09ED"/>
    <w:rsid w:val="004B68C8"/>
    <w:rsid w:val="0050123C"/>
    <w:rsid w:val="00540C17"/>
    <w:rsid w:val="005E056E"/>
    <w:rsid w:val="007474E5"/>
    <w:rsid w:val="00786846"/>
    <w:rsid w:val="007B2D48"/>
    <w:rsid w:val="008149FB"/>
    <w:rsid w:val="008407B4"/>
    <w:rsid w:val="00864EA0"/>
    <w:rsid w:val="00873A71"/>
    <w:rsid w:val="00893764"/>
    <w:rsid w:val="00894951"/>
    <w:rsid w:val="008B4613"/>
    <w:rsid w:val="009B6E60"/>
    <w:rsid w:val="009F08A2"/>
    <w:rsid w:val="00A420D9"/>
    <w:rsid w:val="00A542E2"/>
    <w:rsid w:val="00A87FBC"/>
    <w:rsid w:val="00A912DC"/>
    <w:rsid w:val="00AC31E5"/>
    <w:rsid w:val="00AE6234"/>
    <w:rsid w:val="00B512CB"/>
    <w:rsid w:val="00B8498B"/>
    <w:rsid w:val="00BA4F63"/>
    <w:rsid w:val="00BC7281"/>
    <w:rsid w:val="00BE6500"/>
    <w:rsid w:val="00C12F0F"/>
    <w:rsid w:val="00C21B3E"/>
    <w:rsid w:val="00C40126"/>
    <w:rsid w:val="00C7416F"/>
    <w:rsid w:val="00CF1A0E"/>
    <w:rsid w:val="00CF242C"/>
    <w:rsid w:val="00CF43D6"/>
    <w:rsid w:val="00CF4B62"/>
    <w:rsid w:val="00D12175"/>
    <w:rsid w:val="00DC57A7"/>
    <w:rsid w:val="00DD7182"/>
    <w:rsid w:val="00DE5158"/>
    <w:rsid w:val="00E94E7C"/>
    <w:rsid w:val="00E95530"/>
    <w:rsid w:val="00EB3BBC"/>
    <w:rsid w:val="00F20F82"/>
    <w:rsid w:val="00F4266A"/>
    <w:rsid w:val="00F47CF6"/>
    <w:rsid w:val="00FB2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20E6B1-555E-461F-87C7-C4F690F33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B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9E6"/>
    <w:rPr>
      <w:rFonts w:ascii="Tahoma" w:hAnsi="Tahoma" w:cs="Tahoma"/>
      <w:sz w:val="16"/>
      <w:szCs w:val="16"/>
    </w:rPr>
  </w:style>
  <w:style w:type="paragraph" w:styleId="Title">
    <w:name w:val="Title"/>
    <w:basedOn w:val="Normal"/>
    <w:link w:val="TitleChar"/>
    <w:qFormat/>
    <w:rsid w:val="000C1171"/>
    <w:pPr>
      <w:autoSpaceDE w:val="0"/>
      <w:autoSpaceDN w:val="0"/>
      <w:adjustRightInd w:val="0"/>
      <w:spacing w:after="0" w:line="240" w:lineRule="auto"/>
      <w:ind w:left="-720"/>
      <w:jc w:val="center"/>
    </w:pPr>
    <w:rPr>
      <w:rFonts w:ascii="Bookman Old Style" w:eastAsia="Times New Roman" w:hAnsi="Bookman Old Style" w:cs="Times New Roman"/>
      <w:sz w:val="28"/>
      <w:szCs w:val="20"/>
    </w:rPr>
  </w:style>
  <w:style w:type="character" w:customStyle="1" w:styleId="TitleChar">
    <w:name w:val="Title Char"/>
    <w:basedOn w:val="DefaultParagraphFont"/>
    <w:link w:val="Title"/>
    <w:rsid w:val="000C1171"/>
    <w:rPr>
      <w:rFonts w:ascii="Bookman Old Style" w:eastAsia="Times New Roman" w:hAnsi="Bookman Old Style" w:cs="Times New Roman"/>
      <w:sz w:val="28"/>
      <w:szCs w:val="20"/>
    </w:rPr>
  </w:style>
  <w:style w:type="paragraph" w:styleId="Subtitle">
    <w:name w:val="Subtitle"/>
    <w:basedOn w:val="Normal"/>
    <w:link w:val="SubtitleChar"/>
    <w:qFormat/>
    <w:rsid w:val="000C1171"/>
    <w:pPr>
      <w:autoSpaceDE w:val="0"/>
      <w:autoSpaceDN w:val="0"/>
      <w:adjustRightInd w:val="0"/>
      <w:spacing w:after="0" w:line="240" w:lineRule="auto"/>
      <w:ind w:left="-720"/>
      <w:jc w:val="center"/>
    </w:pPr>
    <w:rPr>
      <w:rFonts w:ascii="Bookman Old Style" w:eastAsia="Times New Roman" w:hAnsi="Bookman Old Style" w:cs="Times New Roman"/>
      <w:i/>
      <w:iCs/>
      <w:sz w:val="32"/>
      <w:szCs w:val="20"/>
    </w:rPr>
  </w:style>
  <w:style w:type="character" w:customStyle="1" w:styleId="SubtitleChar">
    <w:name w:val="Subtitle Char"/>
    <w:basedOn w:val="DefaultParagraphFont"/>
    <w:link w:val="Subtitle"/>
    <w:rsid w:val="000C1171"/>
    <w:rPr>
      <w:rFonts w:ascii="Bookman Old Style" w:eastAsia="Times New Roman" w:hAnsi="Bookman Old Style" w:cs="Times New Roman"/>
      <w:i/>
      <w:iCs/>
      <w:sz w:val="32"/>
      <w:szCs w:val="20"/>
    </w:rPr>
  </w:style>
  <w:style w:type="character" w:styleId="Hyperlink">
    <w:name w:val="Hyperlink"/>
    <w:rsid w:val="000C1171"/>
    <w:rPr>
      <w:color w:val="0000FF"/>
      <w:u w:val="single"/>
    </w:rPr>
  </w:style>
  <w:style w:type="paragraph" w:styleId="Header">
    <w:name w:val="header"/>
    <w:basedOn w:val="Normal"/>
    <w:link w:val="HeaderChar"/>
    <w:uiPriority w:val="99"/>
    <w:unhideWhenUsed/>
    <w:rsid w:val="00355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C20"/>
  </w:style>
  <w:style w:type="paragraph" w:styleId="Footer">
    <w:name w:val="footer"/>
    <w:basedOn w:val="Normal"/>
    <w:link w:val="FooterChar"/>
    <w:uiPriority w:val="99"/>
    <w:unhideWhenUsed/>
    <w:rsid w:val="00355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C20"/>
  </w:style>
  <w:style w:type="paragraph" w:styleId="BodyText">
    <w:name w:val="Body Text"/>
    <w:basedOn w:val="Normal"/>
    <w:link w:val="BodyTextChar"/>
    <w:semiHidden/>
    <w:unhideWhenUsed/>
    <w:rsid w:val="00CF4B62"/>
    <w:pPr>
      <w:spacing w:after="120" w:line="240" w:lineRule="atLeast"/>
    </w:pPr>
    <w:rPr>
      <w:rFonts w:ascii="Arial" w:eastAsia="Times New Roman" w:hAnsi="Arial" w:cs="Times New Roman"/>
      <w:sz w:val="19"/>
      <w:szCs w:val="24"/>
    </w:rPr>
  </w:style>
  <w:style w:type="character" w:customStyle="1" w:styleId="BodyTextChar">
    <w:name w:val="Body Text Char"/>
    <w:basedOn w:val="DefaultParagraphFont"/>
    <w:link w:val="BodyText"/>
    <w:semiHidden/>
    <w:rsid w:val="00CF4B62"/>
    <w:rPr>
      <w:rFonts w:ascii="Arial" w:eastAsia="Times New Roman" w:hAnsi="Arial" w:cs="Times New Roman"/>
      <w:sz w:val="19"/>
      <w:szCs w:val="24"/>
    </w:rPr>
  </w:style>
  <w:style w:type="paragraph" w:customStyle="1" w:styleId="Default">
    <w:name w:val="Default"/>
    <w:rsid w:val="00CF4B62"/>
    <w:pPr>
      <w:autoSpaceDE w:val="0"/>
      <w:autoSpaceDN w:val="0"/>
      <w:adjustRightInd w:val="0"/>
      <w:spacing w:after="0" w:line="240" w:lineRule="auto"/>
    </w:pPr>
    <w:rPr>
      <w:rFonts w:ascii="Arial" w:eastAsia="Times New Roman" w:hAnsi="Arial" w:cs="Arial"/>
      <w:color w:val="000000"/>
      <w:szCs w:val="24"/>
    </w:rPr>
  </w:style>
  <w:style w:type="character" w:styleId="FollowedHyperlink">
    <w:name w:val="FollowedHyperlink"/>
    <w:basedOn w:val="DefaultParagraphFont"/>
    <w:uiPriority w:val="99"/>
    <w:semiHidden/>
    <w:unhideWhenUsed/>
    <w:rsid w:val="00C12F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29627">
      <w:bodyDiv w:val="1"/>
      <w:marLeft w:val="0"/>
      <w:marRight w:val="0"/>
      <w:marTop w:val="0"/>
      <w:marBottom w:val="0"/>
      <w:divBdr>
        <w:top w:val="none" w:sz="0" w:space="0" w:color="auto"/>
        <w:left w:val="none" w:sz="0" w:space="0" w:color="auto"/>
        <w:bottom w:val="none" w:sz="0" w:space="0" w:color="auto"/>
        <w:right w:val="none" w:sz="0" w:space="0" w:color="auto"/>
      </w:divBdr>
    </w:div>
    <w:div w:id="142226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colgate.edu/about/campus-services-and-resources/faculty-and-staff-employment-for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Colgate University</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D Ferguson</dc:creator>
  <cp:lastModifiedBy>Colgate University</cp:lastModifiedBy>
  <cp:revision>2</cp:revision>
  <cp:lastPrinted>2020-10-30T17:54:00Z</cp:lastPrinted>
  <dcterms:created xsi:type="dcterms:W3CDTF">2020-10-30T17:55:00Z</dcterms:created>
  <dcterms:modified xsi:type="dcterms:W3CDTF">2020-10-30T17:55:00Z</dcterms:modified>
</cp:coreProperties>
</file>