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04" w:rsidRDefault="00535F04">
      <w:pPr>
        <w:spacing w:line="480" w:lineRule="auto"/>
        <w:jc w:val="center"/>
        <w:rPr>
          <w:rFonts w:ascii="Times New Roman" w:hAnsi="Times New Roman" w:cs="Times New Roman"/>
          <w:sz w:val="24"/>
        </w:rPr>
      </w:pPr>
      <w:bookmarkStart w:id="0" w:name="_GoBack"/>
      <w:bookmarkEnd w:id="0"/>
    </w:p>
    <w:p w:rsidR="00535F04" w:rsidRDefault="00535F04">
      <w:pPr>
        <w:spacing w:line="480" w:lineRule="auto"/>
        <w:jc w:val="center"/>
        <w:rPr>
          <w:rFonts w:ascii="Times New Roman" w:hAnsi="Times New Roman" w:cs="Times New Roman"/>
          <w:sz w:val="24"/>
        </w:rPr>
      </w:pPr>
    </w:p>
    <w:p w:rsidR="00535F04" w:rsidRDefault="00535F04">
      <w:pPr>
        <w:spacing w:line="480" w:lineRule="auto"/>
        <w:jc w:val="center"/>
        <w:rPr>
          <w:rFonts w:ascii="Times New Roman" w:hAnsi="Times New Roman" w:cs="Times New Roman"/>
          <w:sz w:val="24"/>
        </w:rPr>
      </w:pPr>
    </w:p>
    <w:p w:rsidR="00535F04" w:rsidRDefault="00535F04">
      <w:pPr>
        <w:spacing w:line="480" w:lineRule="auto"/>
        <w:jc w:val="center"/>
        <w:rPr>
          <w:rFonts w:ascii="Times New Roman" w:hAnsi="Times New Roman" w:cs="Times New Roman"/>
          <w:sz w:val="24"/>
        </w:rPr>
      </w:pPr>
    </w:p>
    <w:p w:rsidR="00535F04" w:rsidRDefault="00535F04">
      <w:pPr>
        <w:spacing w:line="480" w:lineRule="auto"/>
        <w:jc w:val="center"/>
        <w:rPr>
          <w:rFonts w:ascii="Times New Roman" w:hAnsi="Times New Roman" w:cs="Times New Roman"/>
          <w:sz w:val="24"/>
        </w:rPr>
      </w:pPr>
    </w:p>
    <w:p w:rsidR="00535F04" w:rsidRDefault="0020353E">
      <w:pPr>
        <w:spacing w:line="480" w:lineRule="auto"/>
        <w:jc w:val="center"/>
        <w:rPr>
          <w:rFonts w:ascii="Times New Roman" w:hAnsi="Times New Roman" w:cs="Times New Roman"/>
          <w:sz w:val="24"/>
        </w:rPr>
      </w:pPr>
      <w:r>
        <w:rPr>
          <w:rFonts w:ascii="Times New Roman" w:hAnsi="Times New Roman" w:cs="Times New Roman"/>
          <w:sz w:val="24"/>
        </w:rPr>
        <w:t>Gender Differences in Risk Attitudes: Is Culture Relevant?</w:t>
      </w:r>
    </w:p>
    <w:p w:rsidR="00535F04" w:rsidRDefault="0020353E">
      <w:pPr>
        <w:spacing w:line="240" w:lineRule="auto"/>
        <w:jc w:val="center"/>
        <w:rPr>
          <w:rFonts w:ascii="Times New Roman" w:hAnsi="Times New Roman" w:cs="Times New Roman"/>
          <w:sz w:val="24"/>
        </w:rPr>
      </w:pPr>
      <w:r>
        <w:rPr>
          <w:rFonts w:ascii="Times New Roman" w:hAnsi="Times New Roman" w:cs="Times New Roman"/>
          <w:sz w:val="24"/>
        </w:rPr>
        <w:t>Zoe Zhong</w:t>
      </w:r>
    </w:p>
    <w:p w:rsidR="008516C5" w:rsidRDefault="008516C5">
      <w:pPr>
        <w:spacing w:line="240" w:lineRule="auto"/>
        <w:jc w:val="center"/>
        <w:rPr>
          <w:rFonts w:ascii="Times New Roman" w:hAnsi="Times New Roman" w:cs="Times New Roman"/>
          <w:sz w:val="24"/>
        </w:rPr>
      </w:pPr>
    </w:p>
    <w:p w:rsidR="003F20ED" w:rsidRDefault="003F20ED">
      <w:pPr>
        <w:spacing w:line="240" w:lineRule="auto"/>
        <w:jc w:val="center"/>
        <w:rPr>
          <w:rFonts w:ascii="Times New Roman" w:hAnsi="Times New Roman" w:cs="Times New Roman"/>
          <w:sz w:val="24"/>
        </w:rPr>
      </w:pPr>
      <w:r>
        <w:rPr>
          <w:rFonts w:ascii="Times New Roman" w:hAnsi="Times New Roman" w:cs="Times New Roman"/>
          <w:sz w:val="24"/>
        </w:rPr>
        <w:t>Submitted for Honors Thesis</w:t>
      </w:r>
    </w:p>
    <w:p w:rsidR="00535F04" w:rsidRDefault="0020353E">
      <w:pPr>
        <w:spacing w:line="240" w:lineRule="auto"/>
        <w:jc w:val="center"/>
        <w:rPr>
          <w:rFonts w:ascii="Times New Roman" w:hAnsi="Times New Roman" w:cs="Times New Roman"/>
          <w:sz w:val="24"/>
        </w:rPr>
      </w:pPr>
      <w:r>
        <w:rPr>
          <w:rFonts w:ascii="Times New Roman" w:hAnsi="Times New Roman" w:cs="Times New Roman"/>
          <w:sz w:val="24"/>
        </w:rPr>
        <w:t>Faculty Advisers: Professor Castilla and Professor Song</w:t>
      </w:r>
    </w:p>
    <w:p w:rsidR="00535F04" w:rsidRDefault="0020353E">
      <w:pPr>
        <w:spacing w:line="240" w:lineRule="auto"/>
        <w:jc w:val="center"/>
        <w:rPr>
          <w:rFonts w:ascii="Times New Roman" w:hAnsi="Times New Roman" w:cs="Times New Roman"/>
          <w:sz w:val="24"/>
        </w:rPr>
      </w:pPr>
      <w:r>
        <w:rPr>
          <w:rFonts w:ascii="Times New Roman" w:hAnsi="Times New Roman" w:cs="Times New Roman"/>
          <w:sz w:val="24"/>
        </w:rPr>
        <w:t>Department of Economics</w:t>
      </w:r>
    </w:p>
    <w:p w:rsidR="00535F04" w:rsidRDefault="0020353E">
      <w:pPr>
        <w:spacing w:line="240" w:lineRule="auto"/>
        <w:jc w:val="center"/>
        <w:rPr>
          <w:rFonts w:ascii="Times New Roman" w:hAnsi="Times New Roman" w:cs="Times New Roman"/>
          <w:sz w:val="24"/>
        </w:rPr>
      </w:pPr>
      <w:r>
        <w:rPr>
          <w:rFonts w:ascii="Times New Roman" w:hAnsi="Times New Roman" w:cs="Times New Roman"/>
          <w:sz w:val="24"/>
        </w:rPr>
        <w:t>Colgate University</w:t>
      </w:r>
    </w:p>
    <w:p w:rsidR="00535F04" w:rsidRDefault="00535F04">
      <w:pPr>
        <w:spacing w:line="480" w:lineRule="auto"/>
        <w:jc w:val="center"/>
        <w:rPr>
          <w:rFonts w:ascii="Times New Roman" w:hAnsi="Times New Roman" w:cs="Times New Roman"/>
          <w:b/>
          <w:bCs/>
          <w:sz w:val="24"/>
        </w:rPr>
      </w:pPr>
    </w:p>
    <w:p w:rsidR="00535F04" w:rsidRDefault="00535F04">
      <w:pPr>
        <w:spacing w:line="480" w:lineRule="auto"/>
        <w:jc w:val="center"/>
        <w:rPr>
          <w:rFonts w:ascii="Times New Roman" w:hAnsi="Times New Roman" w:cs="Times New Roman"/>
          <w:b/>
          <w:bCs/>
          <w:sz w:val="24"/>
        </w:rPr>
      </w:pPr>
    </w:p>
    <w:p w:rsidR="00535F04" w:rsidRDefault="00535F04">
      <w:pPr>
        <w:spacing w:line="480" w:lineRule="auto"/>
        <w:jc w:val="center"/>
        <w:rPr>
          <w:rFonts w:ascii="Times New Roman" w:hAnsi="Times New Roman" w:cs="Times New Roman"/>
          <w:b/>
          <w:bCs/>
          <w:sz w:val="24"/>
        </w:rPr>
      </w:pPr>
    </w:p>
    <w:p w:rsidR="00535F04" w:rsidRDefault="00535F04">
      <w:pPr>
        <w:spacing w:line="480" w:lineRule="auto"/>
        <w:jc w:val="center"/>
        <w:rPr>
          <w:rFonts w:ascii="Times New Roman" w:hAnsi="Times New Roman" w:cs="Times New Roman"/>
          <w:b/>
          <w:bCs/>
          <w:sz w:val="24"/>
        </w:rPr>
      </w:pPr>
    </w:p>
    <w:p w:rsidR="00535F04" w:rsidRDefault="00535F04">
      <w:pPr>
        <w:spacing w:line="480" w:lineRule="auto"/>
        <w:jc w:val="center"/>
        <w:rPr>
          <w:rFonts w:ascii="Times New Roman" w:hAnsi="Times New Roman" w:cs="Times New Roman"/>
          <w:b/>
          <w:bCs/>
          <w:sz w:val="24"/>
        </w:rPr>
      </w:pPr>
    </w:p>
    <w:p w:rsidR="00535F04" w:rsidRDefault="00535F04" w:rsidP="003F20ED">
      <w:pPr>
        <w:spacing w:line="480" w:lineRule="auto"/>
        <w:rPr>
          <w:rFonts w:ascii="Times New Roman" w:hAnsi="Times New Roman" w:cs="Times New Roman"/>
          <w:b/>
          <w:bCs/>
          <w:sz w:val="24"/>
        </w:rPr>
      </w:pPr>
    </w:p>
    <w:p w:rsidR="008516C5" w:rsidRDefault="008516C5">
      <w:pPr>
        <w:spacing w:line="480" w:lineRule="auto"/>
        <w:jc w:val="center"/>
        <w:rPr>
          <w:rFonts w:ascii="Times New Roman" w:hAnsi="Times New Roman" w:cs="Times New Roman"/>
          <w:b/>
          <w:bCs/>
          <w:sz w:val="24"/>
        </w:rPr>
      </w:pPr>
    </w:p>
    <w:p w:rsidR="00535F04" w:rsidRDefault="0020353E">
      <w:pPr>
        <w:spacing w:line="480" w:lineRule="auto"/>
        <w:jc w:val="center"/>
        <w:rPr>
          <w:rFonts w:ascii="Times New Roman" w:hAnsi="Times New Roman" w:cs="Times New Roman"/>
          <w:b/>
          <w:bCs/>
          <w:sz w:val="24"/>
        </w:rPr>
      </w:pPr>
      <w:r>
        <w:rPr>
          <w:rFonts w:ascii="Times New Roman" w:hAnsi="Times New Roman" w:cs="Times New Roman"/>
          <w:b/>
          <w:bCs/>
          <w:sz w:val="24"/>
        </w:rPr>
        <w:lastRenderedPageBreak/>
        <w:t>Abstract</w:t>
      </w:r>
    </w:p>
    <w:p w:rsidR="00535F04" w:rsidRDefault="0020353E">
      <w:pPr>
        <w:spacing w:line="240" w:lineRule="auto"/>
        <w:ind w:firstLine="420"/>
        <w:jc w:val="left"/>
        <w:rPr>
          <w:rFonts w:ascii="Times New Roman" w:hAnsi="Times New Roman" w:cs="Times New Roman"/>
          <w:sz w:val="24"/>
        </w:rPr>
      </w:pPr>
      <w:r>
        <w:rPr>
          <w:rFonts w:ascii="Times New Roman" w:hAnsi="Times New Roman" w:cs="Times New Roman"/>
          <w:sz w:val="24"/>
        </w:rPr>
        <w:t>There is a general consensus that females are more risk averse than males. However, when explaining this gender difference, most current literature has focused on biological reasons, including evolutionary traits, physical strength and emotions. This study analyzed the effects of culture on the gender gap in risk att</w:t>
      </w:r>
      <w:r w:rsidR="00D842D7">
        <w:rPr>
          <w:rFonts w:ascii="Times New Roman" w:hAnsi="Times New Roman" w:cs="Times New Roman"/>
          <w:sz w:val="24"/>
        </w:rPr>
        <w:t>itudes by applying Hofstede’s 6-</w:t>
      </w:r>
      <w:r w:rsidR="00A22319">
        <w:rPr>
          <w:rFonts w:ascii="Times New Roman" w:hAnsi="Times New Roman" w:cs="Times New Roman"/>
          <w:sz w:val="24"/>
        </w:rPr>
        <w:t xml:space="preserve">dimension cultural </w:t>
      </w:r>
      <w:r>
        <w:rPr>
          <w:rFonts w:ascii="Times New Roman" w:hAnsi="Times New Roman" w:cs="Times New Roman"/>
          <w:sz w:val="24"/>
        </w:rPr>
        <w:t>framework. The results show that (1) consistent with previous research, culture is significantly correlated with risk attitudes in general; (2) a higher level of masculinity, which indicates that gender roles are more differentiated in a society, increases the gender gap in risk. The paper provides evidence that the gender differenc</w:t>
      </w:r>
      <w:r w:rsidR="00D842D7">
        <w:rPr>
          <w:rFonts w:ascii="Times New Roman" w:hAnsi="Times New Roman" w:cs="Times New Roman"/>
          <w:sz w:val="24"/>
        </w:rPr>
        <w:t>e in risk is a result of cultural</w:t>
      </w:r>
      <w:r>
        <w:rPr>
          <w:rFonts w:ascii="Times New Roman" w:hAnsi="Times New Roman" w:cs="Times New Roman"/>
          <w:sz w:val="24"/>
        </w:rPr>
        <w:t xml:space="preserve"> influence, rather than biological traits. Important implications and future research directions are discussed.  </w:t>
      </w:r>
    </w:p>
    <w:p w:rsidR="00535F04" w:rsidRDefault="0020353E">
      <w:pPr>
        <w:spacing w:line="240" w:lineRule="auto"/>
        <w:ind w:firstLine="420"/>
        <w:jc w:val="left"/>
        <w:rPr>
          <w:rFonts w:ascii="Times New Roman" w:hAnsi="Times New Roman" w:cs="Times New Roman"/>
          <w:sz w:val="24"/>
        </w:rPr>
      </w:pPr>
      <w:r>
        <w:rPr>
          <w:rFonts w:ascii="Times New Roman" w:hAnsi="Times New Roman" w:cs="Times New Roman"/>
          <w:b/>
          <w:bCs/>
          <w:sz w:val="24"/>
        </w:rPr>
        <w:t>KEYWORDS:</w:t>
      </w:r>
      <w:r>
        <w:rPr>
          <w:rFonts w:ascii="Times New Roman" w:hAnsi="Times New Roman" w:cs="Times New Roman"/>
          <w:sz w:val="24"/>
        </w:rPr>
        <w:t xml:space="preserve"> Risk Preference, Gender Difference, Culture, Masculinity</w:t>
      </w:r>
    </w:p>
    <w:p w:rsidR="00535F04" w:rsidRDefault="0020353E">
      <w:pPr>
        <w:spacing w:line="240" w:lineRule="auto"/>
        <w:ind w:firstLine="420"/>
        <w:jc w:val="left"/>
        <w:rPr>
          <w:rFonts w:ascii="Times New Roman" w:hAnsi="Times New Roman" w:cs="Times New Roman"/>
          <w:sz w:val="24"/>
        </w:rPr>
      </w:pPr>
      <w:r>
        <w:rPr>
          <w:rFonts w:ascii="Times New Roman" w:hAnsi="Times New Roman" w:cs="Times New Roman"/>
          <w:b/>
          <w:bCs/>
          <w:sz w:val="24"/>
        </w:rPr>
        <w:t>JEL Classification:</w:t>
      </w:r>
      <w:r>
        <w:rPr>
          <w:rFonts w:ascii="Times New Roman" w:hAnsi="Times New Roman" w:cs="Times New Roman"/>
          <w:sz w:val="24"/>
        </w:rPr>
        <w:t xml:space="preserve"> D8, J16, D03</w:t>
      </w:r>
    </w:p>
    <w:p w:rsidR="00535F04" w:rsidRDefault="00535F04">
      <w:pPr>
        <w:spacing w:line="480" w:lineRule="auto"/>
        <w:jc w:val="center"/>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535F04" w:rsidRDefault="00535F04">
      <w:pPr>
        <w:spacing w:line="480" w:lineRule="auto"/>
        <w:rPr>
          <w:rFonts w:ascii="Times New Roman" w:hAnsi="Times New Roman" w:cs="Times New Roman"/>
          <w:b/>
          <w:bCs/>
          <w:sz w:val="24"/>
        </w:rPr>
      </w:pPr>
    </w:p>
    <w:p w:rsidR="00D842D7" w:rsidRDefault="00D842D7">
      <w:pPr>
        <w:spacing w:line="480" w:lineRule="auto"/>
        <w:rPr>
          <w:rFonts w:ascii="Times New Roman" w:hAnsi="Times New Roman" w:cs="Times New Roman"/>
          <w:b/>
          <w:bCs/>
          <w:sz w:val="24"/>
        </w:rPr>
      </w:pPr>
    </w:p>
    <w:p w:rsidR="00535F04" w:rsidRDefault="0020353E">
      <w:pPr>
        <w:spacing w:line="240" w:lineRule="auto"/>
        <w:jc w:val="center"/>
        <w:rPr>
          <w:rFonts w:ascii="Times New Roman" w:hAnsi="Times New Roman" w:cs="Times New Roman"/>
          <w:b/>
          <w:bCs/>
          <w:sz w:val="24"/>
        </w:rPr>
      </w:pPr>
      <w:r>
        <w:rPr>
          <w:rFonts w:ascii="Times New Roman" w:hAnsi="Times New Roman" w:cs="Times New Roman"/>
          <w:b/>
          <w:bCs/>
          <w:sz w:val="24"/>
        </w:rPr>
        <w:t>Acknowledgments</w:t>
      </w:r>
    </w:p>
    <w:p w:rsidR="00535F04" w:rsidRDefault="00954288" w:rsidP="006F7881">
      <w:pPr>
        <w:spacing w:line="240" w:lineRule="auto"/>
        <w:ind w:firstLine="420"/>
        <w:jc w:val="left"/>
        <w:rPr>
          <w:rFonts w:ascii="Times New Roman" w:hAnsi="Times New Roman" w:cs="Times New Roman"/>
          <w:sz w:val="24"/>
        </w:rPr>
      </w:pPr>
      <w:r>
        <w:rPr>
          <w:rFonts w:ascii="Times New Roman" w:hAnsi="Times New Roman" w:cs="Times New Roman"/>
          <w:sz w:val="24"/>
        </w:rPr>
        <w:t>Special thanks to Professor</w:t>
      </w:r>
      <w:r w:rsidR="0020353E">
        <w:rPr>
          <w:rFonts w:ascii="Times New Roman" w:hAnsi="Times New Roman" w:cs="Times New Roman"/>
          <w:sz w:val="24"/>
        </w:rPr>
        <w:t xml:space="preserve"> Castilla and </w:t>
      </w:r>
      <w:r>
        <w:rPr>
          <w:rFonts w:ascii="Times New Roman" w:hAnsi="Times New Roman" w:cs="Times New Roman"/>
          <w:sz w:val="24"/>
        </w:rPr>
        <w:t xml:space="preserve">Professor </w:t>
      </w:r>
      <w:r w:rsidR="0020353E">
        <w:rPr>
          <w:rFonts w:ascii="Times New Roman" w:hAnsi="Times New Roman" w:cs="Times New Roman"/>
          <w:sz w:val="24"/>
        </w:rPr>
        <w:t xml:space="preserve">Song for their continued support and guidance in this year-long project; Dr. Fillippin and Dr. Crosetto for provision of data; and the faculty of the Colgate Economics Department as well as the students of Econ </w:t>
      </w:r>
      <w:r w:rsidR="008516C5">
        <w:rPr>
          <w:rFonts w:ascii="Times New Roman" w:hAnsi="Times New Roman" w:cs="Times New Roman"/>
          <w:sz w:val="24"/>
        </w:rPr>
        <w:t>489-</w:t>
      </w:r>
      <w:r w:rsidR="0020353E">
        <w:rPr>
          <w:rFonts w:ascii="Times New Roman" w:hAnsi="Times New Roman" w:cs="Times New Roman"/>
          <w:sz w:val="24"/>
        </w:rPr>
        <w:t xml:space="preserve">490 for their constructive feedback. </w:t>
      </w:r>
    </w:p>
    <w:p w:rsidR="00535F04" w:rsidRDefault="0020353E">
      <w:pPr>
        <w:spacing w:line="480" w:lineRule="auto"/>
        <w:jc w:val="center"/>
        <w:rPr>
          <w:rFonts w:ascii="Times New Roman" w:hAnsi="Times New Roman" w:cs="Times New Roman"/>
          <w:b/>
          <w:bCs/>
          <w:sz w:val="24"/>
        </w:rPr>
      </w:pPr>
      <w:r>
        <w:rPr>
          <w:rFonts w:ascii="Times New Roman" w:hAnsi="Times New Roman" w:cs="Times New Roman"/>
          <w:b/>
          <w:bCs/>
          <w:sz w:val="24"/>
        </w:rPr>
        <w:lastRenderedPageBreak/>
        <w:t>Section 1: Introduction</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When identifying oneself, gender is an important component. Gender shapes who we are and influences our behaviors in a variety of aspects. For instance, research in psychology shows that on the scale of the Big Five personality traits, women consistently report higher neuroticism, agreeableness, warmth, and openness to feelings, while men often report higher openness to ideas and assertiveness (Costa, Terracciano, and McCrae, 2001). Also, women tend to have a democratic and relationship-oriented leadership style, whereas men are more task-oriented and are more effective in achieving goals in leadership (Gray, 1992).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In economics, one of the most important gender differences studied is in risk preference, which is indicated through decision makers’ choices among options with different risks (Schaefer, 1978). Risk preference is involved in our daily lives, from choosing to put our seat belts on while driving, to making decisions on our investment portfolios or pension plans. While a few studies revealed little or no gender differences in risk attitudes, the majority of empirical studies provide evidence that females are indeed more risk averse than males, especially when faced with financial risks (Powell &amp; Ansic 1997; Byrnes, Miller, &amp; Schafer 1999; Eckel and Grossman 2002; Waldron et al., 2005; Dohmen et al 2005; Charness &amp; Gneezy 2012).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Without a doubt, this gender difference in risk attitudes has crucial real life implications. For instance, the perception that females are less willing to take risks can harm their chances of getting promoted in the corporate world, where risk-taking is viewed as a necessary component of progress (Johnson &amp; Powell 1994; Bajtelsmit &amp; Bernasek 1996; Schubert et al</w:t>
      </w:r>
      <w:r w:rsidR="00716054">
        <w:rPr>
          <w:rFonts w:ascii="Times New Roman" w:hAnsi="Times New Roman" w:cs="Times New Roman"/>
          <w:sz w:val="24"/>
        </w:rPr>
        <w:t>.,</w:t>
      </w:r>
      <w:r>
        <w:rPr>
          <w:rFonts w:ascii="Times New Roman" w:hAnsi="Times New Roman" w:cs="Times New Roman"/>
          <w:sz w:val="24"/>
        </w:rPr>
        <w:t xml:space="preserve"> 1999). More </w:t>
      </w:r>
      <w:r>
        <w:rPr>
          <w:rFonts w:ascii="Times New Roman" w:hAnsi="Times New Roman" w:cs="Times New Roman"/>
          <w:sz w:val="24"/>
        </w:rPr>
        <w:lastRenderedPageBreak/>
        <w:t xml:space="preserve">importantly, as Rai (2014) has pointed out in her article, gender difference in risk can affect welfare implications for women. Since risk aversion is often associated with less wealth, a combination of being more risk averse and having more longevity implies that women often </w:t>
      </w:r>
      <w:r w:rsidR="00954288">
        <w:rPr>
          <w:rFonts w:ascii="Times New Roman" w:hAnsi="Times New Roman" w:cs="Times New Roman"/>
          <w:sz w:val="24"/>
        </w:rPr>
        <w:t xml:space="preserve">need to </w:t>
      </w:r>
      <w:r>
        <w:rPr>
          <w:rFonts w:ascii="Times New Roman" w:hAnsi="Times New Roman" w:cs="Times New Roman"/>
          <w:sz w:val="24"/>
        </w:rPr>
        <w:t xml:space="preserve">support their longer retirement periods with lower retirement wealth.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Consequently, it is important, especially for policy makers, to understand the causes of this gender disparity in risk attitudes in order to make effective policy interventions. Although there is a great deal of empirical literature on identifying the gender difference, a relatively small amount of research has analyzed the reasons behind these differences, and most of it is focused on biological reasons. Researchers have tried to explain this gap in risk attitudes with gender differences in evolutionary processes, emotions, overconfidence, and even physical prowes</w:t>
      </w:r>
      <w:r w:rsidR="00753AAB">
        <w:rPr>
          <w:rFonts w:ascii="Times New Roman" w:hAnsi="Times New Roman" w:cs="Times New Roman"/>
          <w:sz w:val="24"/>
        </w:rPr>
        <w:t>s (Buss, 2003; Harris et al. 2006</w:t>
      </w:r>
      <w:r>
        <w:rPr>
          <w:rFonts w:ascii="Times New Roman" w:hAnsi="Times New Roman" w:cs="Times New Roman"/>
          <w:sz w:val="24"/>
        </w:rPr>
        <w:t xml:space="preserve">; Croson &amp; Gneezy 2009; Ball, Eckel, &amp; Heracieous 2010).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In my view, however, another important factor we need to consider is culture. First, research has indicated that there are significant cross-cultural differences in risk preferences, which indicates that culture matters for our risk-taking behaviors (Rieger, Wang, and Hens, 2014). In addition, many sociologists have argued that gender should be understood as a social rather than physiological construct (Ridgeway and Correll, 2004; Fleming, </w:t>
      </w:r>
      <w:r w:rsidR="00753AAB">
        <w:rPr>
          <w:rFonts w:ascii="Times New Roman" w:hAnsi="Times New Roman" w:cs="Times New Roman"/>
          <w:sz w:val="24"/>
        </w:rPr>
        <w:t xml:space="preserve">Lee, and Dworkin, </w:t>
      </w:r>
      <w:r>
        <w:rPr>
          <w:rFonts w:ascii="Times New Roman" w:hAnsi="Times New Roman" w:cs="Times New Roman"/>
          <w:sz w:val="24"/>
        </w:rPr>
        <w:t>2014; Edwards, 2015). In other words, gender differences are formed through our cultural norms, rather than through biologically inherited traits. Besides, there is also empirical research against the biological hypothesis (Booth and Nolen, 2012; Carr and Steele, 2010).</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Therefore, in this paper, I aim to analyze the effects of culture on gender differences in risk attitudes. If gender differences in risk are indeed due to biological reasons, there should be</w:t>
      </w:r>
      <w:r w:rsidR="002C6D69">
        <w:rPr>
          <w:rFonts w:ascii="Times New Roman" w:hAnsi="Times New Roman" w:cs="Times New Roman"/>
          <w:sz w:val="24"/>
        </w:rPr>
        <w:t xml:space="preserve"> no cross-cultural variations. Also, t</w:t>
      </w:r>
      <w:r>
        <w:rPr>
          <w:rFonts w:ascii="Times New Roman" w:hAnsi="Times New Roman" w:cs="Times New Roman"/>
          <w:sz w:val="24"/>
        </w:rPr>
        <w:t>his paper innovate</w:t>
      </w:r>
      <w:r w:rsidR="006A0354">
        <w:rPr>
          <w:rFonts w:ascii="Times New Roman" w:hAnsi="Times New Roman" w:cs="Times New Roman"/>
          <w:sz w:val="24"/>
        </w:rPr>
        <w:t>s</w:t>
      </w:r>
      <w:r>
        <w:rPr>
          <w:rFonts w:ascii="Times New Roman" w:hAnsi="Times New Roman" w:cs="Times New Roman"/>
          <w:sz w:val="24"/>
        </w:rPr>
        <w:t xml:space="preserve"> in at least three ways. First, with Filippin and Crosetto’s micro</w:t>
      </w:r>
      <w:r w:rsidR="00954288">
        <w:rPr>
          <w:rFonts w:ascii="Times New Roman" w:hAnsi="Times New Roman" w:cs="Times New Roman"/>
          <w:sz w:val="24"/>
        </w:rPr>
        <w:t>-dataset (2016), this paper uses</w:t>
      </w:r>
      <w:r>
        <w:rPr>
          <w:rFonts w:ascii="Times New Roman" w:hAnsi="Times New Roman" w:cs="Times New Roman"/>
          <w:sz w:val="24"/>
        </w:rPr>
        <w:t xml:space="preserve"> a </w:t>
      </w:r>
      <w:r w:rsidR="006A0354">
        <w:rPr>
          <w:rFonts w:ascii="Times New Roman" w:hAnsi="Times New Roman" w:cs="Times New Roman"/>
          <w:sz w:val="24"/>
        </w:rPr>
        <w:t>large</w:t>
      </w:r>
      <w:r>
        <w:rPr>
          <w:rFonts w:ascii="Times New Roman" w:hAnsi="Times New Roman" w:cs="Times New Roman"/>
          <w:sz w:val="24"/>
        </w:rPr>
        <w:t xml:space="preserve"> sample with nearly 4200 subjects from 12 countries. As Matsumoto and Vijver (2011) noted in their book, it is problematic to conduct intercultural studies with only two cultures, because the size of the differences between these two cultures is unknown, which makes result interpretation</w:t>
      </w:r>
      <w:r w:rsidR="00D842D7">
        <w:rPr>
          <w:rFonts w:ascii="Times New Roman" w:hAnsi="Times New Roman" w:cs="Times New Roman"/>
          <w:sz w:val="24"/>
        </w:rPr>
        <w:t>s</w:t>
      </w:r>
      <w:r>
        <w:rPr>
          <w:rFonts w:ascii="Times New Roman" w:hAnsi="Times New Roman" w:cs="Times New Roman"/>
          <w:sz w:val="24"/>
        </w:rPr>
        <w:t xml:space="preserve"> difficult. By including a variety of </w:t>
      </w:r>
      <w:r w:rsidR="00954288">
        <w:rPr>
          <w:rFonts w:ascii="Times New Roman" w:hAnsi="Times New Roman" w:cs="Times New Roman"/>
          <w:sz w:val="24"/>
        </w:rPr>
        <w:t>countries with different cultural</w:t>
      </w:r>
      <w:r>
        <w:rPr>
          <w:rFonts w:ascii="Times New Roman" w:hAnsi="Times New Roman" w:cs="Times New Roman"/>
          <w:sz w:val="24"/>
        </w:rPr>
        <w:t xml:space="preserve"> characteristics, my study will be able to address this problem. Second, the risk preference measure </w:t>
      </w:r>
      <w:r w:rsidR="00D842D7">
        <w:rPr>
          <w:rFonts w:ascii="Times New Roman" w:hAnsi="Times New Roman" w:cs="Times New Roman"/>
          <w:sz w:val="24"/>
        </w:rPr>
        <w:t>is</w:t>
      </w:r>
      <w:r>
        <w:rPr>
          <w:rFonts w:ascii="Times New Roman" w:hAnsi="Times New Roman" w:cs="Times New Roman"/>
          <w:sz w:val="24"/>
        </w:rPr>
        <w:t xml:space="preserve"> controlled and only studies that replicated the Holt-Laury task </w:t>
      </w:r>
      <w:r w:rsidR="00D842D7">
        <w:rPr>
          <w:rFonts w:ascii="Times New Roman" w:hAnsi="Times New Roman" w:cs="Times New Roman"/>
          <w:sz w:val="24"/>
        </w:rPr>
        <w:t>are</w:t>
      </w:r>
      <w:r>
        <w:rPr>
          <w:rFonts w:ascii="Times New Roman" w:hAnsi="Times New Roman" w:cs="Times New Roman"/>
          <w:sz w:val="24"/>
        </w:rPr>
        <w:t xml:space="preserve"> examined. I will go into further details on this task in the methodology section. This is important because research shows that elicitation methods matter for the risk preference measurement. Third, by applying Hofstede’s 6-dimension c</w:t>
      </w:r>
      <w:r w:rsidR="001C5A82">
        <w:rPr>
          <w:rFonts w:ascii="Times New Roman" w:hAnsi="Times New Roman" w:cs="Times New Roman"/>
          <w:sz w:val="24"/>
        </w:rPr>
        <w:t>ultur</w:t>
      </w:r>
      <w:r w:rsidR="00954288">
        <w:rPr>
          <w:rFonts w:ascii="Times New Roman" w:hAnsi="Times New Roman" w:cs="Times New Roman"/>
          <w:sz w:val="24"/>
        </w:rPr>
        <w:t>al</w:t>
      </w:r>
      <w:r w:rsidR="001C5A82">
        <w:rPr>
          <w:rFonts w:ascii="Times New Roman" w:hAnsi="Times New Roman" w:cs="Times New Roman"/>
          <w:sz w:val="24"/>
        </w:rPr>
        <w:t xml:space="preserve"> framework (Hofstede, 1980</w:t>
      </w:r>
      <w:r>
        <w:rPr>
          <w:rFonts w:ascii="Times New Roman" w:hAnsi="Times New Roman" w:cs="Times New Roman"/>
          <w:sz w:val="24"/>
        </w:rPr>
        <w:t xml:space="preserve">; </w:t>
      </w:r>
      <w:r w:rsidR="000F455E">
        <w:rPr>
          <w:rFonts w:ascii="Times New Roman" w:hAnsi="Times New Roman" w:cs="Times New Roman"/>
          <w:sz w:val="24"/>
        </w:rPr>
        <w:t xml:space="preserve">Hofstede and Hofstede, </w:t>
      </w:r>
      <w:r>
        <w:rPr>
          <w:rFonts w:ascii="Times New Roman" w:hAnsi="Times New Roman" w:cs="Times New Roman"/>
          <w:sz w:val="24"/>
        </w:rPr>
        <w:t xml:space="preserve">2005; </w:t>
      </w:r>
      <w:r w:rsidR="000F455E">
        <w:rPr>
          <w:rFonts w:ascii="Times New Roman" w:hAnsi="Times New Roman" w:cs="Times New Roman"/>
          <w:sz w:val="24"/>
        </w:rPr>
        <w:t xml:space="preserve">Hofstede, Hofstede, and Minkov, </w:t>
      </w:r>
      <w:r w:rsidR="00D842D7">
        <w:rPr>
          <w:rFonts w:ascii="Times New Roman" w:hAnsi="Times New Roman" w:cs="Times New Roman"/>
          <w:sz w:val="24"/>
        </w:rPr>
        <w:t>2011), which includes power distance (PDI), individualism (IDV), masculinity (MAS), uncertainty avoidance (UAI), long-term o</w:t>
      </w:r>
      <w:r>
        <w:rPr>
          <w:rFonts w:ascii="Times New Roman" w:hAnsi="Times New Roman" w:cs="Times New Roman"/>
          <w:sz w:val="24"/>
        </w:rPr>
        <w:t>rientation (LT</w:t>
      </w:r>
      <w:r w:rsidR="00D842D7">
        <w:rPr>
          <w:rFonts w:ascii="Times New Roman" w:hAnsi="Times New Roman" w:cs="Times New Roman"/>
          <w:sz w:val="24"/>
        </w:rPr>
        <w:t>O), and i</w:t>
      </w:r>
      <w:r>
        <w:rPr>
          <w:rFonts w:ascii="Times New Roman" w:hAnsi="Times New Roman" w:cs="Times New Roman"/>
          <w:sz w:val="24"/>
        </w:rPr>
        <w:t xml:space="preserve">ndulgence (IND), I am able to quantify culture and compare cross-cultural differences in a systematic way. </w:t>
      </w:r>
    </w:p>
    <w:p w:rsidR="00535F04" w:rsidRDefault="00954288">
      <w:pPr>
        <w:spacing w:line="480" w:lineRule="auto"/>
        <w:ind w:firstLine="420"/>
        <w:jc w:val="left"/>
        <w:rPr>
          <w:rFonts w:ascii="Times New Roman" w:hAnsi="Times New Roman" w:cs="Times New Roman"/>
          <w:sz w:val="24"/>
        </w:rPr>
      </w:pPr>
      <w:r>
        <w:rPr>
          <w:rFonts w:ascii="Times New Roman" w:hAnsi="Times New Roman" w:cs="Times New Roman"/>
          <w:sz w:val="24"/>
        </w:rPr>
        <w:t>The results not only confirm</w:t>
      </w:r>
      <w:r w:rsidR="0020353E">
        <w:rPr>
          <w:rFonts w:ascii="Times New Roman" w:hAnsi="Times New Roman" w:cs="Times New Roman"/>
          <w:sz w:val="24"/>
        </w:rPr>
        <w:t xml:space="preserve"> the association between culture and risk attitudes in general, but more importantly, al</w:t>
      </w:r>
      <w:r>
        <w:rPr>
          <w:rFonts w:ascii="Times New Roman" w:hAnsi="Times New Roman" w:cs="Times New Roman"/>
          <w:sz w:val="24"/>
        </w:rPr>
        <w:t>so provide</w:t>
      </w:r>
      <w:r w:rsidR="0020353E">
        <w:rPr>
          <w:rFonts w:ascii="Times New Roman" w:hAnsi="Times New Roman" w:cs="Times New Roman"/>
          <w:sz w:val="24"/>
        </w:rPr>
        <w:t xml:space="preserve"> evidence that culture matters for the gender difference in risk. Masculinity s</w:t>
      </w:r>
      <w:r w:rsidR="00A22319">
        <w:rPr>
          <w:rFonts w:ascii="Times New Roman" w:hAnsi="Times New Roman" w:cs="Times New Roman"/>
          <w:sz w:val="24"/>
        </w:rPr>
        <w:t>core, the cultural</w:t>
      </w:r>
      <w:r w:rsidR="0020353E">
        <w:rPr>
          <w:rFonts w:ascii="Times New Roman" w:hAnsi="Times New Roman" w:cs="Times New Roman"/>
          <w:sz w:val="24"/>
        </w:rPr>
        <w:t xml:space="preserve"> dimension related to the gender dynamic in a society, is positively correlated with the gender gap in risk. Although the results should not be taken as con</w:t>
      </w:r>
      <w:r>
        <w:rPr>
          <w:rFonts w:ascii="Times New Roman" w:hAnsi="Times New Roman" w:cs="Times New Roman"/>
          <w:sz w:val="24"/>
        </w:rPr>
        <w:t>clusive given that my sample is</w:t>
      </w:r>
      <w:r w:rsidR="0020353E">
        <w:rPr>
          <w:rFonts w:ascii="Times New Roman" w:hAnsi="Times New Roman" w:cs="Times New Roman"/>
          <w:sz w:val="24"/>
        </w:rPr>
        <w:t xml:space="preserve"> entirely students, they serve as important evidence against the popular biological hypothesis. It will be interesting to replicate this study with more representative samples from more countries in the future to confirm my results.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The remainder of this paper is divided into four sections. Section two is a review of related literature. Section three explains the methodology implemented, including risk preference and culture measurement</w:t>
      </w:r>
      <w:r w:rsidR="00954288">
        <w:rPr>
          <w:rFonts w:ascii="Times New Roman" w:hAnsi="Times New Roman" w:cs="Times New Roman"/>
          <w:sz w:val="24"/>
        </w:rPr>
        <w:t>s</w:t>
      </w:r>
      <w:r>
        <w:rPr>
          <w:rFonts w:ascii="Times New Roman" w:hAnsi="Times New Roman" w:cs="Times New Roman"/>
          <w:sz w:val="24"/>
        </w:rPr>
        <w:t xml:space="preserve">, data descriptions, and econometric models. Section four presents the results and explanations. Finally, section five discusses the limitations and implications of the study, as well as possible directions for future research. </w:t>
      </w:r>
    </w:p>
    <w:p w:rsidR="00535F04" w:rsidRDefault="00535F04">
      <w:pPr>
        <w:spacing w:line="480" w:lineRule="auto"/>
        <w:ind w:firstLine="420"/>
        <w:jc w:val="left"/>
        <w:rPr>
          <w:rFonts w:ascii="Times New Roman" w:hAnsi="Times New Roman" w:cs="Times New Roman"/>
          <w:sz w:val="24"/>
        </w:rPr>
      </w:pPr>
    </w:p>
    <w:p w:rsidR="00535F04" w:rsidRDefault="0020353E">
      <w:pPr>
        <w:spacing w:line="480" w:lineRule="auto"/>
        <w:jc w:val="center"/>
        <w:rPr>
          <w:rFonts w:ascii="Times New Roman" w:hAnsi="Times New Roman" w:cs="Times New Roman"/>
          <w:b/>
          <w:bCs/>
          <w:sz w:val="24"/>
        </w:rPr>
      </w:pPr>
      <w:r>
        <w:rPr>
          <w:rFonts w:ascii="Times New Roman" w:hAnsi="Times New Roman" w:cs="Times New Roman"/>
          <w:b/>
          <w:bCs/>
          <w:sz w:val="24"/>
        </w:rPr>
        <w:t>Section 2: Literature Review</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Since the 1990s, a larger amount of research in both psychology and economics has started to look at gender differences in risk attitudes. Although a small amount of empirical research found little or no gender gap in risk attitudes, the general consensus is that women are more risk averse than men. For instance, Byrnes, Miller, and Schafer (1999) conducted a meta-analysis of 150 studies and concluded that males are clearly more risk seeking than females are. Also, more recently, Charness and Gneezy (2012) did a meta-analysis as well with data from 15 different experiments and found strong and consistent evidence that females are more risk averse.</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This gender difference in risk plays an important role in many aspects of life, including investments, job promotions, salary, and even retirement plans. For instance, </w:t>
      </w:r>
      <w:r>
        <w:rPr>
          <w:rFonts w:ascii="Times New Roman" w:hAnsi="Times New Roman" w:cs="Times New Roman" w:hint="eastAsia"/>
          <w:sz w:val="24"/>
        </w:rPr>
        <w:t>Wang</w:t>
      </w:r>
      <w:r>
        <w:rPr>
          <w:rFonts w:ascii="Times New Roman" w:hAnsi="Times New Roman" w:cs="Times New Roman"/>
          <w:sz w:val="24"/>
        </w:rPr>
        <w:t xml:space="preserve"> (1994) found in his research that </w:t>
      </w:r>
      <w:r w:rsidR="00D842D7">
        <w:rPr>
          <w:rFonts w:ascii="Times New Roman" w:hAnsi="Times New Roman" w:cs="Times New Roman"/>
          <w:sz w:val="24"/>
        </w:rPr>
        <w:t>investment brokers often offer</w:t>
      </w:r>
      <w:r>
        <w:rPr>
          <w:rFonts w:ascii="Times New Roman" w:hAnsi="Times New Roman" w:cs="Times New Roman"/>
          <w:sz w:val="24"/>
        </w:rPr>
        <w:t xml:space="preserve"> women lower-risk investment options with lower expected returns due to the perception that they a</w:t>
      </w:r>
      <w:r w:rsidR="00954288">
        <w:rPr>
          <w:rFonts w:ascii="Times New Roman" w:hAnsi="Times New Roman" w:cs="Times New Roman"/>
          <w:sz w:val="24"/>
        </w:rPr>
        <w:t>re more risk averse than men</w:t>
      </w:r>
      <w:r>
        <w:rPr>
          <w:rFonts w:ascii="Times New Roman" w:hAnsi="Times New Roman" w:cs="Times New Roman"/>
          <w:sz w:val="24"/>
        </w:rPr>
        <w:t>. This leads to potentially suboptimal investment decisions by women compared to a situation when they receive unbiased information. Additiona</w:t>
      </w:r>
      <w:r w:rsidR="00954288">
        <w:rPr>
          <w:rFonts w:ascii="Times New Roman" w:hAnsi="Times New Roman" w:cs="Times New Roman"/>
          <w:sz w:val="24"/>
        </w:rPr>
        <w:t>lly, in the corporate world, this</w:t>
      </w:r>
      <w:r>
        <w:rPr>
          <w:rFonts w:ascii="Times New Roman" w:hAnsi="Times New Roman" w:cs="Times New Roman"/>
          <w:sz w:val="24"/>
        </w:rPr>
        <w:t xml:space="preserve"> gender difference in risk attitudes is often related to job promotions. In their study, Johnson and Powell (1994) showed that women </w:t>
      </w:r>
      <w:r w:rsidR="00D842D7">
        <w:rPr>
          <w:rFonts w:ascii="Times New Roman" w:hAnsi="Times New Roman" w:cs="Times New Roman"/>
          <w:sz w:val="24"/>
        </w:rPr>
        <w:t>are</w:t>
      </w:r>
      <w:r>
        <w:rPr>
          <w:rFonts w:ascii="Times New Roman" w:hAnsi="Times New Roman" w:cs="Times New Roman"/>
          <w:sz w:val="24"/>
        </w:rPr>
        <w:t xml:space="preserve"> excluded from managerial positions because of the belief that they w</w:t>
      </w:r>
      <w:r w:rsidR="00D842D7">
        <w:rPr>
          <w:rFonts w:ascii="Times New Roman" w:hAnsi="Times New Roman" w:cs="Times New Roman"/>
          <w:sz w:val="24"/>
        </w:rPr>
        <w:t>ill</w:t>
      </w:r>
      <w:r>
        <w:rPr>
          <w:rFonts w:ascii="Times New Roman" w:hAnsi="Times New Roman" w:cs="Times New Roman"/>
          <w:sz w:val="24"/>
        </w:rPr>
        <w:t xml:space="preserve"> not be willing to take risks for the company’s devel</w:t>
      </w:r>
      <w:r w:rsidR="00D842D7">
        <w:rPr>
          <w:rFonts w:ascii="Times New Roman" w:hAnsi="Times New Roman" w:cs="Times New Roman"/>
          <w:sz w:val="24"/>
        </w:rPr>
        <w:t>opment. However, this belief is</w:t>
      </w:r>
      <w:r>
        <w:rPr>
          <w:rFonts w:ascii="Times New Roman" w:hAnsi="Times New Roman" w:cs="Times New Roman"/>
          <w:sz w:val="24"/>
        </w:rPr>
        <w:t xml:space="preserve"> based on observations of the general populatio</w:t>
      </w:r>
      <w:r w:rsidR="00D842D7">
        <w:rPr>
          <w:rFonts w:ascii="Times New Roman" w:hAnsi="Times New Roman" w:cs="Times New Roman"/>
          <w:sz w:val="24"/>
        </w:rPr>
        <w:t>n, and empirical evidence shows</w:t>
      </w:r>
      <w:r>
        <w:rPr>
          <w:rFonts w:ascii="Times New Roman" w:hAnsi="Times New Roman" w:cs="Times New Roman"/>
          <w:sz w:val="24"/>
        </w:rPr>
        <w:t xml:space="preserve"> that female and </w:t>
      </w:r>
      <w:r w:rsidR="00D842D7">
        <w:rPr>
          <w:rFonts w:ascii="Times New Roman" w:hAnsi="Times New Roman" w:cs="Times New Roman"/>
          <w:sz w:val="24"/>
        </w:rPr>
        <w:t>male managers actually display</w:t>
      </w:r>
      <w:r>
        <w:rPr>
          <w:rFonts w:ascii="Times New Roman" w:hAnsi="Times New Roman" w:cs="Times New Roman"/>
          <w:sz w:val="24"/>
        </w:rPr>
        <w:t xml:space="preserve"> similar risk preference</w:t>
      </w:r>
      <w:r w:rsidR="00D842D7">
        <w:rPr>
          <w:rFonts w:ascii="Times New Roman" w:hAnsi="Times New Roman" w:cs="Times New Roman"/>
          <w:sz w:val="24"/>
        </w:rPr>
        <w:t xml:space="preserve">s. Furthermore, according to Eckel and Grossman (2002), employers </w:t>
      </w:r>
      <w:r>
        <w:rPr>
          <w:rFonts w:ascii="Times New Roman" w:hAnsi="Times New Roman" w:cs="Times New Roman"/>
          <w:sz w:val="24"/>
        </w:rPr>
        <w:t>offer women lower initial wages in employment negotiations and bargain more a</w:t>
      </w:r>
      <w:r w:rsidR="00D842D7">
        <w:rPr>
          <w:rFonts w:ascii="Times New Roman" w:hAnsi="Times New Roman" w:cs="Times New Roman"/>
          <w:sz w:val="24"/>
        </w:rPr>
        <w:t xml:space="preserve">ggressively since they expect </w:t>
      </w:r>
      <w:r>
        <w:rPr>
          <w:rFonts w:ascii="Times New Roman" w:hAnsi="Times New Roman" w:cs="Times New Roman"/>
          <w:sz w:val="24"/>
        </w:rPr>
        <w:t>women to be more risk averse and therefore, more likely to accept a given offer than men would be. Finally, another critical implication of gender difference in risk is in retirement plans. According to Infanger (2006), risk aversion is usually associated with lower wealth based on people’s asset allocation and portfolio choices. However, on average, women live 5 to 10 years longer than men, and 85% of the people over 100 years old are women (Blue, 2008). Therefore, a combination of risk aversion and longevity implie</w:t>
      </w:r>
      <w:r w:rsidR="00954288">
        <w:rPr>
          <w:rFonts w:ascii="Times New Roman" w:hAnsi="Times New Roman" w:cs="Times New Roman"/>
          <w:sz w:val="24"/>
        </w:rPr>
        <w:t xml:space="preserve">s that women </w:t>
      </w:r>
      <w:r>
        <w:rPr>
          <w:rFonts w:ascii="Times New Roman" w:hAnsi="Times New Roman" w:cs="Times New Roman"/>
          <w:sz w:val="24"/>
        </w:rPr>
        <w:t xml:space="preserve">have less wealth to support their longer retirement periods. Indeed, based on a study conducted by the National Institute on Retirement Security (NIRS), women are 80% more likely than men to fall below the poverty line at age 65 and older, while women between the </w:t>
      </w:r>
      <w:r w:rsidR="00D842D7">
        <w:rPr>
          <w:rFonts w:ascii="Times New Roman" w:hAnsi="Times New Roman" w:cs="Times New Roman"/>
          <w:sz w:val="24"/>
        </w:rPr>
        <w:t>ages</w:t>
      </w:r>
      <w:r>
        <w:rPr>
          <w:rFonts w:ascii="Times New Roman" w:hAnsi="Times New Roman" w:cs="Times New Roman"/>
          <w:sz w:val="24"/>
        </w:rPr>
        <w:t xml:space="preserve"> of 75 to 79 are three times more likely than men to face poverty (Brown et al., 2016). Although factors such as lower income and more time-off to provide childcare can influence this result, researchers at NIRS suggest that lower risk tolerance of women </w:t>
      </w:r>
      <w:r w:rsidR="00D842D7">
        <w:rPr>
          <w:rFonts w:ascii="Times New Roman" w:hAnsi="Times New Roman" w:cs="Times New Roman"/>
          <w:sz w:val="24"/>
        </w:rPr>
        <w:t xml:space="preserve">partially </w:t>
      </w:r>
      <w:r>
        <w:rPr>
          <w:rFonts w:ascii="Times New Roman" w:hAnsi="Times New Roman" w:cs="Times New Roman"/>
          <w:sz w:val="24"/>
        </w:rPr>
        <w:t xml:space="preserve">accounts for the problem as well. This should </w:t>
      </w:r>
      <w:r w:rsidR="00D842D7">
        <w:rPr>
          <w:rFonts w:ascii="Times New Roman" w:hAnsi="Times New Roman" w:cs="Times New Roman"/>
          <w:sz w:val="24"/>
        </w:rPr>
        <w:t xml:space="preserve">be an important concern for </w:t>
      </w:r>
      <w:r>
        <w:rPr>
          <w:rFonts w:ascii="Times New Roman" w:hAnsi="Times New Roman" w:cs="Times New Roman"/>
          <w:sz w:val="24"/>
        </w:rPr>
        <w:t xml:space="preserve">policy makers, and hence, understanding the story behind the gender difference in risk attitudes is crucial for effective policy interventions.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Nevertheless, a relatively small amount of research has focused on the causes of this gender difference, and most of it is trying to explain the discrepancy with biological reasons. For instance, Harris, Jenkins, and Glaser (2006) proposed the “offspring risk hypothesis” in their article. Given that the investment req</w:t>
      </w:r>
      <w:r w:rsidR="00D842D7">
        <w:rPr>
          <w:rFonts w:ascii="Times New Roman" w:hAnsi="Times New Roman" w:cs="Times New Roman"/>
          <w:sz w:val="24"/>
        </w:rPr>
        <w:t>uired to produce an offspring was</w:t>
      </w:r>
      <w:r>
        <w:rPr>
          <w:rFonts w:ascii="Times New Roman" w:hAnsi="Times New Roman" w:cs="Times New Roman"/>
          <w:sz w:val="24"/>
        </w:rPr>
        <w:t xml:space="preserve"> much greater for females than for males, females became more risk averse in order to keep their offspring safe, and this trait has been passed along through natural selection. Similarly, Ball, Eckel, and Heracleous (2010) argued that men are more risk tolerant than women because they ar</w:t>
      </w:r>
      <w:r w:rsidR="00D842D7">
        <w:rPr>
          <w:rFonts w:ascii="Times New Roman" w:hAnsi="Times New Roman" w:cs="Times New Roman"/>
          <w:sz w:val="24"/>
        </w:rPr>
        <w:t>e physically stronger and therefore, they are more capable of dealing with consequences</w:t>
      </w:r>
      <w:r>
        <w:rPr>
          <w:rFonts w:ascii="Times New Roman" w:hAnsi="Times New Roman" w:cs="Times New Roman"/>
          <w:sz w:val="24"/>
        </w:rPr>
        <w:t xml:space="preserve">. From a psychology perspective, another proposed explanation is that women are born to experience emotions such as nervousness and fear more strongly, and are less overconfident compared to men, which leads to the gender disparity in risk (Croson and Gneezy, 2009).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However, in my view, another important factor we should not neglect is culture. Theoretically, many scholars argue that gender should be interpreted as a social rather than physiological identity. For instance, Peterson and Runyan (1993) claimed that gender differences are a complex set of characteristics an</w:t>
      </w:r>
      <w:r w:rsidR="00954288">
        <w:rPr>
          <w:rFonts w:ascii="Times New Roman" w:hAnsi="Times New Roman" w:cs="Times New Roman"/>
          <w:sz w:val="24"/>
        </w:rPr>
        <w:t>d</w:t>
      </w:r>
      <w:r>
        <w:rPr>
          <w:rFonts w:ascii="Times New Roman" w:hAnsi="Times New Roman" w:cs="Times New Roman"/>
          <w:sz w:val="24"/>
        </w:rPr>
        <w:t xml:space="preserve"> behaviors established by a society and they are learned thro</w:t>
      </w:r>
      <w:r w:rsidR="00D842D7">
        <w:rPr>
          <w:rFonts w:ascii="Times New Roman" w:hAnsi="Times New Roman" w:cs="Times New Roman"/>
          <w:sz w:val="24"/>
        </w:rPr>
        <w:t>ugh the socialization process. Also, i</w:t>
      </w:r>
      <w:r>
        <w:rPr>
          <w:rFonts w:ascii="Times New Roman" w:hAnsi="Times New Roman" w:cs="Times New Roman"/>
          <w:sz w:val="24"/>
        </w:rPr>
        <w:t>n their research, Fleming, Lee, and Dworkin (2014) went further and asserted that both female and male behaviors are largely influenced by socially constructed gender norms, rather than biologically inherent traits. Empirically, there is also support against the biological hypothesis. First, using survey data from 53 countries and conducting cross-cultural comparisons, Rieger, Wang, and Hens (2010) showed that cultural background is definitely involved in risk decisions. Moreover, an experiment done with high school students from single</w:t>
      </w:r>
      <w:r w:rsidR="00954288">
        <w:rPr>
          <w:rFonts w:ascii="Times New Roman" w:hAnsi="Times New Roman" w:cs="Times New Roman"/>
          <w:sz w:val="24"/>
        </w:rPr>
        <w:t>-sex and co-ed schools suggested</w:t>
      </w:r>
      <w:r>
        <w:rPr>
          <w:rFonts w:ascii="Times New Roman" w:hAnsi="Times New Roman" w:cs="Times New Roman"/>
          <w:sz w:val="24"/>
        </w:rPr>
        <w:t xml:space="preserve"> that gender differences in risk might reflect social learning (Booth and Nolen, 2012). The results indicated that the girls from single-sex schools display similar risk tolerance as the boys from single-sex or co-ed schools, and are less risk averse than girls from co-ed schools. Also, a psychology experiment by Carr and Steele’s research (2010) provided additional support. When female students were asked to indicate their gender and complete a “mathematics task,” they showed a higher level of risk aversion than their male counterparts. However, when the experimenters changed the task name to “puzzle-solving task” without asking for gender information, female students displayed similar risk preferences as the male students. The results </w:t>
      </w:r>
      <w:r w:rsidR="00954288">
        <w:rPr>
          <w:rFonts w:ascii="Times New Roman" w:hAnsi="Times New Roman" w:cs="Times New Roman"/>
          <w:sz w:val="24"/>
        </w:rPr>
        <w:t>demonstrat</w:t>
      </w:r>
      <w:r>
        <w:rPr>
          <w:rFonts w:ascii="Times New Roman" w:hAnsi="Times New Roman" w:cs="Times New Roman"/>
          <w:sz w:val="24"/>
        </w:rPr>
        <w:t>ed that the presence of stereotype threat can affect female’s behaviors, and the</w:t>
      </w:r>
      <w:r w:rsidR="00D842D7">
        <w:rPr>
          <w:rFonts w:ascii="Times New Roman" w:hAnsi="Times New Roman" w:cs="Times New Roman"/>
          <w:sz w:val="24"/>
        </w:rPr>
        <w:t>refore, implied that culture might</w:t>
      </w:r>
      <w:r>
        <w:rPr>
          <w:rFonts w:ascii="Times New Roman" w:hAnsi="Times New Roman" w:cs="Times New Roman"/>
          <w:sz w:val="24"/>
        </w:rPr>
        <w:t xml:space="preserve"> influence gender differences in risk attitudes.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To my best knowledge, only three empirical studies have tried to analyze the effects of culture from different perspectives. All of them compared samples from the same country or 2 different societies with different risk elicitation methods. The first study was conducted by Gong and Yang (2012) in the matrilineal Mosuo and the patriarchal Yi in China. Subjects were given 10</w:t>
      </w:r>
      <w:r>
        <w:rPr>
          <w:rFonts w:ascii="Times New Roman" w:hAnsi="Times New Roman" w:cs="Times New Roman" w:hint="eastAsia"/>
          <w:sz w:val="24"/>
        </w:rPr>
        <w:t xml:space="preserve"> </w:t>
      </w:r>
      <w:r>
        <w:rPr>
          <w:rFonts w:ascii="Times New Roman" w:hAnsi="Times New Roman" w:cs="Times New Roman"/>
          <w:sz w:val="24"/>
        </w:rPr>
        <w:t xml:space="preserve">RMB, which was equivalent to less than $2, and they </w:t>
      </w:r>
      <w:r w:rsidR="00C76C78">
        <w:rPr>
          <w:rFonts w:ascii="Times New Roman" w:hAnsi="Times New Roman" w:cs="Times New Roman"/>
          <w:sz w:val="24"/>
        </w:rPr>
        <w:t>had to decide</w:t>
      </w:r>
      <w:r>
        <w:rPr>
          <w:rFonts w:ascii="Times New Roman" w:hAnsi="Times New Roman" w:cs="Times New Roman"/>
          <w:sz w:val="24"/>
        </w:rPr>
        <w:t xml:space="preserve"> how </w:t>
      </w:r>
      <w:r w:rsidR="00C76C78">
        <w:rPr>
          <w:rFonts w:ascii="Times New Roman" w:hAnsi="Times New Roman" w:cs="Times New Roman"/>
          <w:sz w:val="24"/>
        </w:rPr>
        <w:t>they would allocate the cash</w:t>
      </w:r>
      <w:r>
        <w:rPr>
          <w:rFonts w:ascii="Times New Roman" w:hAnsi="Times New Roman" w:cs="Times New Roman"/>
          <w:sz w:val="24"/>
        </w:rPr>
        <w:t xml:space="preserve"> </w:t>
      </w:r>
      <w:r w:rsidR="00D842D7">
        <w:rPr>
          <w:rFonts w:ascii="Times New Roman" w:hAnsi="Times New Roman" w:cs="Times New Roman"/>
          <w:sz w:val="24"/>
        </w:rPr>
        <w:t>between two</w:t>
      </w:r>
      <w:r>
        <w:rPr>
          <w:rFonts w:ascii="Times New Roman" w:hAnsi="Times New Roman" w:cs="Times New Roman"/>
          <w:sz w:val="24"/>
        </w:rPr>
        <w:t xml:space="preserve"> given lotteries. Their results indicated </w:t>
      </w:r>
      <w:r w:rsidR="00954288">
        <w:rPr>
          <w:rFonts w:ascii="Times New Roman" w:hAnsi="Times New Roman" w:cs="Times New Roman"/>
          <w:sz w:val="24"/>
        </w:rPr>
        <w:t>that women are</w:t>
      </w:r>
      <w:r>
        <w:rPr>
          <w:rFonts w:ascii="Times New Roman" w:hAnsi="Times New Roman" w:cs="Times New Roman"/>
          <w:sz w:val="24"/>
        </w:rPr>
        <w:t xml:space="preserve"> more risk averse than men in both societies, but the gender gap is smaller in the </w:t>
      </w:r>
      <w:r w:rsidR="00954288">
        <w:rPr>
          <w:rFonts w:ascii="Times New Roman" w:hAnsi="Times New Roman" w:cs="Times New Roman"/>
          <w:sz w:val="24"/>
        </w:rPr>
        <w:t xml:space="preserve">matrilineal </w:t>
      </w:r>
      <w:r>
        <w:rPr>
          <w:rFonts w:ascii="Times New Roman" w:hAnsi="Times New Roman" w:cs="Times New Roman"/>
          <w:sz w:val="24"/>
        </w:rPr>
        <w:t>Mosuo. In contrast, using two samples from the matrilineal Teop in Papua New Guinea and the patrilineal Palawa</w:t>
      </w:r>
      <w:r w:rsidR="00522B7E">
        <w:rPr>
          <w:rFonts w:ascii="Times New Roman" w:hAnsi="Times New Roman" w:cs="Times New Roman"/>
          <w:sz w:val="24"/>
        </w:rPr>
        <w:t xml:space="preserve">n in the Philippines, Pondorfer </w:t>
      </w:r>
      <w:r>
        <w:rPr>
          <w:rFonts w:ascii="Times New Roman" w:hAnsi="Times New Roman" w:cs="Times New Roman"/>
          <w:sz w:val="24"/>
        </w:rPr>
        <w:t xml:space="preserve">(2016) asked subjects to choose among five different lotteries, and found little gender differences in risk preferences in either society. Lastly, Rai (2014) used data from Survey of Consumer Finances and applied Fairlie’s decomposition technique (2006). Using the average risk preferences of two gender groups as the proxy for social norm, the decomposition model </w:t>
      </w:r>
      <w:r w:rsidR="00954288">
        <w:rPr>
          <w:rFonts w:ascii="Times New Roman" w:hAnsi="Times New Roman" w:cs="Times New Roman"/>
          <w:sz w:val="24"/>
        </w:rPr>
        <w:t>showed</w:t>
      </w:r>
      <w:r>
        <w:rPr>
          <w:rFonts w:ascii="Times New Roman" w:hAnsi="Times New Roman" w:cs="Times New Roman"/>
          <w:sz w:val="24"/>
        </w:rPr>
        <w:t xml:space="preserve"> that social norm was the most important factor in explaining gender differences in risk, and it accounted for 61.3% of the observed gender gap.</w:t>
      </w:r>
    </w:p>
    <w:p w:rsidR="00535F04" w:rsidRDefault="00535F04">
      <w:pPr>
        <w:spacing w:line="480" w:lineRule="auto"/>
        <w:jc w:val="center"/>
        <w:rPr>
          <w:rFonts w:ascii="Times New Roman" w:hAnsi="Times New Roman" w:cs="Times New Roman"/>
          <w:b/>
          <w:bCs/>
          <w:sz w:val="24"/>
        </w:rPr>
      </w:pPr>
    </w:p>
    <w:p w:rsidR="00535F04" w:rsidRDefault="0020353E">
      <w:pPr>
        <w:spacing w:line="480" w:lineRule="auto"/>
        <w:jc w:val="center"/>
        <w:rPr>
          <w:rFonts w:ascii="Times New Roman" w:hAnsi="Times New Roman" w:cs="Times New Roman"/>
          <w:b/>
          <w:bCs/>
          <w:sz w:val="24"/>
        </w:rPr>
      </w:pPr>
      <w:r>
        <w:rPr>
          <w:rFonts w:ascii="Times New Roman" w:hAnsi="Times New Roman" w:cs="Times New Roman"/>
          <w:b/>
          <w:bCs/>
          <w:sz w:val="24"/>
        </w:rPr>
        <w:t>Section 3: Methodology</w:t>
      </w: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3.1 Risk Measurement</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Empirically, experimenters have tried many ways to measure risk preference. The three most popular methods being used in the field are: (1) Gneezy and Potters’ investment game (1997), (2) Eckel and Grossman (EG) task (2002), and (3) Holt and Laury (HL) task (2002). </w:t>
      </w:r>
    </w:p>
    <w:p w:rsidR="00954288" w:rsidRDefault="00954288" w:rsidP="00954288">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First, in the investment game by Gneezy and Potters (1997), subjects are given a certain amount of money at the beginning of the experiment. They need to decide how they will allocate the money between a safe account with no interest payment, or a risky option that yields a 250% return with 50% probability, and 0 otherwise. The expected return rate of the risky option is </w:t>
      </w:r>
    </w:p>
    <w:p w:rsidR="00535F04" w:rsidRDefault="0020353E">
      <w:pPr>
        <w:spacing w:after="0" w:line="480" w:lineRule="auto"/>
        <w:jc w:val="left"/>
        <w:rPr>
          <w:rFonts w:ascii="Times New Roman" w:eastAsia="Times New Roman" w:hAnsi="Times New Roman" w:cs="Times New Roman"/>
          <w:b/>
          <w:sz w:val="24"/>
        </w:rPr>
      </w:pPr>
      <w:r>
        <w:rPr>
          <w:rFonts w:ascii="Times New Roman" w:eastAsia="Times New Roman" w:hAnsi="Times New Roman" w:cs="Times New Roman"/>
          <w:b/>
          <w:sz w:val="24"/>
        </w:rPr>
        <w:t>Figure 1. Eckel and Grossman Task (2002).</w:t>
      </w:r>
    </w:p>
    <w:tbl>
      <w:tblPr>
        <w:tblW w:w="9576" w:type="dxa"/>
        <w:tblLayout w:type="fixed"/>
        <w:tblLook w:val="04A0" w:firstRow="1" w:lastRow="0" w:firstColumn="1" w:lastColumn="0" w:noHBand="0" w:noVBand="1"/>
      </w:tblPr>
      <w:tblGrid>
        <w:gridCol w:w="2394"/>
        <w:gridCol w:w="2394"/>
        <w:gridCol w:w="2394"/>
        <w:gridCol w:w="2394"/>
      </w:tblGrid>
      <w:tr w:rsidR="00535F04">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Choice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Probability</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Outcome</w:t>
            </w:r>
          </w:p>
        </w:tc>
      </w:tr>
      <w:tr w:rsidR="00535F04">
        <w:trPr>
          <w:trHeight w:val="1"/>
        </w:trPr>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r>
      <w:tr w:rsidR="00535F04">
        <w:trPr>
          <w:trHeight w:val="1"/>
        </w:trPr>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r>
      <w:tr w:rsidR="00535F04">
        <w:trPr>
          <w:trHeight w:val="1"/>
        </w:trPr>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$24</w:t>
            </w:r>
          </w:p>
        </w:tc>
      </w:tr>
      <w:tr w:rsidR="00535F04">
        <w:trPr>
          <w:trHeight w:val="1"/>
        </w:trPr>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$12</w:t>
            </w:r>
          </w:p>
        </w:tc>
      </w:tr>
      <w:tr w:rsidR="00535F04">
        <w:trPr>
          <w:trHeight w:val="1"/>
        </w:trPr>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$32</w:t>
            </w:r>
          </w:p>
        </w:tc>
      </w:tr>
      <w:tr w:rsidR="00535F04">
        <w:trPr>
          <w:trHeight w:val="1"/>
        </w:trPr>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w:t>
            </w:r>
          </w:p>
        </w:tc>
      </w:tr>
      <w:tr w:rsidR="00535F04">
        <w:trPr>
          <w:trHeight w:val="1"/>
        </w:trPr>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$40</w:t>
            </w:r>
          </w:p>
        </w:tc>
      </w:tr>
      <w:tr w:rsidR="00535F04">
        <w:trPr>
          <w:trHeight w:val="1"/>
        </w:trPr>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w:t>
            </w:r>
          </w:p>
        </w:tc>
      </w:tr>
      <w:tr w:rsidR="00535F04">
        <w:trPr>
          <w:trHeight w:val="1"/>
        </w:trPr>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$48</w:t>
            </w:r>
          </w:p>
        </w:tc>
      </w:tr>
      <w:tr w:rsidR="00535F04">
        <w:trPr>
          <w:trHeight w:val="1"/>
        </w:trPr>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w:t>
            </w:r>
          </w:p>
        </w:tc>
      </w:tr>
    </w:tbl>
    <w:p w:rsidR="00535F04" w:rsidRDefault="0020353E" w:rsidP="00954288">
      <w:pPr>
        <w:spacing w:line="480" w:lineRule="auto"/>
        <w:jc w:val="left"/>
        <w:rPr>
          <w:rFonts w:ascii="Times New Roman" w:hAnsi="Times New Roman" w:cs="Times New Roman"/>
          <w:sz w:val="24"/>
        </w:rPr>
      </w:pPr>
      <w:r>
        <w:rPr>
          <w:rFonts w:ascii="Times New Roman" w:hAnsi="Times New Roman" w:cs="Times New Roman"/>
          <w:sz w:val="24"/>
        </w:rPr>
        <w:t xml:space="preserve">higher than 1, and therefore, risk-neutral people will put all the money there. The second method is the EG (Eckel and Grossman) task. As shown in Figure 1, subjects are given five lottery options that each includes a good and a bad outcome. The probability is always 50% for both outcomes across five lotteries. However, the difference between the good and bad outcome is growing from lottery 1 to 5. As we move down the list, the expected return is increasing as well. Hence, risk neutral people will always choose lottery 5, whereas risk </w:t>
      </w:r>
      <w:r>
        <w:rPr>
          <w:rFonts w:ascii="Times New Roman" w:hAnsi="Times New Roman" w:cs="Times New Roman" w:hint="eastAsia"/>
          <w:sz w:val="24"/>
        </w:rPr>
        <w:t>averse</w:t>
      </w:r>
      <w:r>
        <w:rPr>
          <w:rFonts w:ascii="Times New Roman" w:hAnsi="Times New Roman" w:cs="Times New Roman"/>
          <w:sz w:val="24"/>
        </w:rPr>
        <w:t xml:space="preserve"> people will choose among lottery 1 to 4. </w:t>
      </w:r>
    </w:p>
    <w:p w:rsidR="00954288" w:rsidRDefault="00954288" w:rsidP="00954288">
      <w:pPr>
        <w:spacing w:line="480" w:lineRule="auto"/>
        <w:ind w:firstLine="420"/>
        <w:jc w:val="left"/>
        <w:rPr>
          <w:rFonts w:ascii="Times New Roman" w:hAnsi="Times New Roman" w:cs="Times New Roman"/>
          <w:sz w:val="24"/>
        </w:rPr>
      </w:pPr>
      <w:r>
        <w:rPr>
          <w:rFonts w:ascii="Times New Roman" w:hAnsi="Times New Roman" w:cs="Times New Roman"/>
          <w:sz w:val="24"/>
        </w:rPr>
        <w:t>Finally, another method to elicit risk preference is the HL (Holt and Laury) task (Figure 2). There are two options: for option A, payoffs are either $2 or $1.6; for option B, payoffs are either $3.85 or $0.1. The difference between the good and bad outcomes in option B is much larger than that of option A. Therefore, option A is regarded as the safe choice whereas option B is the risky choice. The probability of the good outcome is increasing while the chance of the bad outcome is decreasing in both options. Hence, the expected payoff is growing in both options,</w:t>
      </w:r>
    </w:p>
    <w:p w:rsidR="00535F04" w:rsidRDefault="0020353E">
      <w:pPr>
        <w:spacing w:after="0" w:line="480" w:lineRule="auto"/>
        <w:jc w:val="left"/>
        <w:rPr>
          <w:rFonts w:ascii="Times New Roman" w:eastAsia="Times New Roman" w:hAnsi="Times New Roman" w:cs="Times New Roman"/>
          <w:b/>
          <w:sz w:val="24"/>
        </w:rPr>
      </w:pPr>
      <w:r>
        <w:rPr>
          <w:rFonts w:ascii="Times New Roman" w:eastAsia="Times New Roman" w:hAnsi="Times New Roman" w:cs="Times New Roman"/>
          <w:b/>
          <w:sz w:val="24"/>
        </w:rPr>
        <w:t>Figure 2. Holt and Laury Task (2002).</w:t>
      </w:r>
    </w:p>
    <w:tbl>
      <w:tblPr>
        <w:tblW w:w="9082" w:type="dxa"/>
        <w:jc w:val="center"/>
        <w:tblLayout w:type="fixed"/>
        <w:tblLook w:val="04A0" w:firstRow="1" w:lastRow="0" w:firstColumn="1" w:lastColumn="0" w:noHBand="0" w:noVBand="1"/>
      </w:tblPr>
      <w:tblGrid>
        <w:gridCol w:w="484"/>
        <w:gridCol w:w="810"/>
        <w:gridCol w:w="783"/>
        <w:gridCol w:w="750"/>
        <w:gridCol w:w="807"/>
        <w:gridCol w:w="270"/>
        <w:gridCol w:w="843"/>
        <w:gridCol w:w="780"/>
        <w:gridCol w:w="705"/>
        <w:gridCol w:w="780"/>
        <w:gridCol w:w="435"/>
        <w:gridCol w:w="1635"/>
      </w:tblGrid>
      <w:tr w:rsidR="00535F04">
        <w:trPr>
          <w:jc w:val="center"/>
        </w:trPr>
        <w:tc>
          <w:tcPr>
            <w:tcW w:w="7012"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Option A</w:t>
            </w:r>
            <w:r>
              <w:rPr>
                <w:rFonts w:ascii="Times New Roman" w:eastAsia="Times New Roman" w:hAnsi="Times New Roman" w:cs="Times New Roman"/>
                <w:sz w:val="24"/>
              </w:rPr>
              <w:t>                                   </w:t>
            </w:r>
            <w:r>
              <w:rPr>
                <w:rFonts w:ascii="Times New Roman" w:eastAsia="Times New Roman" w:hAnsi="Times New Roman" w:cs="Times New Roman"/>
                <w:b/>
                <w:sz w:val="24"/>
              </w:rPr>
              <w:t xml:space="preserve">   Option B</w:t>
            </w:r>
          </w:p>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b/>
                <w:sz w:val="24"/>
              </w:rPr>
              <w:t xml:space="preserve">               (safe)                       (risky)                    </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b/>
                <w:sz w:val="24"/>
              </w:rPr>
              <w:t>Expected Payoff Differences</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p</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Stake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p</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Stake</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p</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Stake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p</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Stake</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9/10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9/10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$1.17</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$0.83</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7/10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7/10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$0.50</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6/10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6/10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$0.16</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5/10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-$0.18</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6/10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6/10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4/10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-$0.51</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7</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7/10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7/10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-$0.85</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8/10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-$1.18</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9/10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9/10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-$1.52</w:t>
            </w:r>
          </w:p>
        </w:tc>
      </w:tr>
      <w:tr w:rsidR="00535F04">
        <w:trPr>
          <w:trHeight w:val="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10/10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0" w:line="240" w:lineRule="auto"/>
              <w:jc w:val="left"/>
              <w:rPr>
                <w:rFonts w:ascii="Times New Roman" w:eastAsia="SimSun" w:hAnsi="Times New Roman" w:cs="Times New Roman"/>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10/10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$3.85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$0.1</w:t>
            </w: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535F04">
            <w:pPr>
              <w:spacing w:after="200" w:line="276" w:lineRule="auto"/>
              <w:jc w:val="left"/>
              <w:rPr>
                <w:rFonts w:ascii="Times New Roman" w:eastAsia="SimSu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5F04" w:rsidRDefault="0020353E">
            <w:pPr>
              <w:spacing w:after="0" w:line="240" w:lineRule="auto"/>
              <w:jc w:val="left"/>
              <w:rPr>
                <w:rFonts w:ascii="Times New Roman" w:hAnsi="Times New Roman" w:cs="Times New Roman"/>
                <w:sz w:val="24"/>
              </w:rPr>
            </w:pPr>
            <w:r>
              <w:rPr>
                <w:rFonts w:ascii="Times New Roman" w:eastAsia="Times New Roman" w:hAnsi="Times New Roman" w:cs="Times New Roman"/>
                <w:sz w:val="24"/>
              </w:rPr>
              <w:t>-$1.85</w:t>
            </w:r>
          </w:p>
        </w:tc>
      </w:tr>
    </w:tbl>
    <w:p w:rsidR="00954288" w:rsidRDefault="00954288" w:rsidP="00954288">
      <w:pPr>
        <w:spacing w:line="480" w:lineRule="auto"/>
        <w:jc w:val="left"/>
        <w:rPr>
          <w:rFonts w:ascii="Times New Roman" w:hAnsi="Times New Roman" w:cs="Times New Roman"/>
          <w:sz w:val="24"/>
        </w:rPr>
      </w:pPr>
    </w:p>
    <w:p w:rsidR="00535F04" w:rsidRDefault="0020353E" w:rsidP="00954288">
      <w:pPr>
        <w:spacing w:line="480" w:lineRule="auto"/>
        <w:jc w:val="left"/>
        <w:rPr>
          <w:rFonts w:ascii="Times New Roman" w:hAnsi="Times New Roman" w:cs="Times New Roman"/>
          <w:sz w:val="24"/>
        </w:rPr>
      </w:pPr>
      <w:r>
        <w:rPr>
          <w:rFonts w:ascii="Times New Roman" w:hAnsi="Times New Roman" w:cs="Times New Roman"/>
          <w:sz w:val="24"/>
        </w:rPr>
        <w:t xml:space="preserve">but it is growing at a faster pace for the risky option. The column on the right shows the expected payoff difference between the safe and risky option, calculated as the expected return of option A minus the expected return of option B. Subjects are asked to make ten binary choices by going through the entire list. The expected return difference changes from positive to negative in row 5, and that is where risk neutral people will switch from option A to B, whereas risk averse individuals will switch later than that.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Studies replicating the HL task usually use two ways to show the degree of risk aversion. First, they can use the number of safety choices, or the percentage of safety choices made to represent an individual’s risk attitude. For example, 2 safe choices will demonstrate risk seekingness while 7 safe choices will indicate risk aversion. Alternatively, some researchers, including Holt and Laury themselves, calculate the actual risk aversion parameter. Under the assumption of constant relative risk aversion (CRRA), the utility function takes the form of</w:t>
      </w:r>
      <w:r>
        <w:rPr>
          <w:rFonts w:ascii="Times New Roman" w:hAnsi="Times New Roman" w:cs="Times New Roman"/>
          <w:position w:val="-10"/>
          <w:sz w:val="24"/>
        </w:rPr>
        <w:object w:dxaOrig="166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6.5pt" o:ole="">
            <v:imagedata r:id="rId9" o:title=""/>
          </v:shape>
          <o:OLEObject Type="Embed" ProgID="Equation.3" ShapeID="_x0000_i1025" DrawAspect="Content" ObjectID="_1564820070" r:id="rId10"/>
        </w:object>
      </w:r>
      <w:r>
        <w:rPr>
          <w:rFonts w:ascii="Times New Roman" w:hAnsi="Times New Roman" w:cs="Times New Roman"/>
          <w:sz w:val="24"/>
        </w:rPr>
        <w:t>, where r is the risk aversion parameter and it is positive for risk averse subjects. For a risk neutral individual who switches at row 5, we can infer that</w:t>
      </w:r>
      <w:r>
        <w:rPr>
          <w:rFonts w:ascii="Times New Roman" w:hAnsi="Times New Roman" w:cs="Times New Roman"/>
          <w:sz w:val="24"/>
        </w:rPr>
        <w:object w:dxaOrig="8100" w:dyaOrig="330">
          <v:shape id="_x0000_i1026" type="#_x0000_t75" style="width:405pt;height:16.5pt" o:ole="">
            <v:imagedata r:id="rId11" o:title=""/>
          </v:shape>
          <o:OLEObject Type="Embed" ProgID="Equation.3" ShapeID="_x0000_i1026" DrawAspect="Content" ObjectID="_1564820071" r:id="rId12"/>
        </w:object>
      </w:r>
      <w:r>
        <w:rPr>
          <w:rFonts w:ascii="Times New Roman" w:hAnsi="Times New Roman" w:cs="Times New Roman"/>
          <w:sz w:val="24"/>
        </w:rPr>
        <w:t>, where</w:t>
      </w:r>
      <w:r>
        <w:rPr>
          <w:rFonts w:ascii="Times New Roman" w:hAnsi="Times New Roman" w:cs="Times New Roman"/>
          <w:sz w:val="24"/>
        </w:rPr>
        <w:object w:dxaOrig="1320" w:dyaOrig="330">
          <v:shape id="_x0000_i1027" type="#_x0000_t75" style="width:66pt;height:16.5pt" o:ole="">
            <v:imagedata r:id="rId13" o:title=""/>
          </v:shape>
          <o:OLEObject Type="Embed" ProgID="Equation.3" ShapeID="_x0000_i1027" DrawAspect="Content" ObjectID="_1564820072" r:id="rId14"/>
        </w:object>
      </w:r>
      <w:r>
        <w:rPr>
          <w:rFonts w:ascii="Times New Roman" w:hAnsi="Times New Roman" w:cs="Times New Roman"/>
          <w:sz w:val="24"/>
        </w:rPr>
        <w:t xml:space="preserve">. The estimated </w:t>
      </w:r>
      <w:r w:rsidR="00F71953">
        <w:rPr>
          <w:rFonts w:ascii="Times New Roman" w:hAnsi="Times New Roman" w:cs="Times New Roman"/>
          <w:sz w:val="24"/>
        </w:rPr>
        <w:t>risk aversion parameter will be</w:t>
      </w:r>
      <w:r>
        <w:rPr>
          <w:rFonts w:ascii="Times New Roman" w:hAnsi="Times New Roman" w:cs="Times New Roman"/>
          <w:sz w:val="24"/>
        </w:rPr>
        <w:object w:dxaOrig="1680" w:dyaOrig="285">
          <v:shape id="_x0000_i1028" type="#_x0000_t75" style="width:84pt;height:14.25pt" o:ole="">
            <v:imagedata r:id="rId15" o:title=""/>
          </v:shape>
          <o:OLEObject Type="Embed" ProgID="Equation.3" ShapeID="_x0000_i1028" DrawAspect="Content" ObjectID="_1564820073" r:id="rId16"/>
        </w:object>
      </w:r>
      <w:r w:rsidR="00F71953">
        <w:rPr>
          <w:rFonts w:ascii="Times New Roman" w:hAnsi="Times New Roman" w:cs="Times New Roman"/>
          <w:sz w:val="24"/>
        </w:rPr>
        <w:t>. T</w:t>
      </w:r>
      <w:r>
        <w:rPr>
          <w:rFonts w:ascii="Times New Roman" w:hAnsi="Times New Roman" w:cs="Times New Roman"/>
          <w:sz w:val="24"/>
        </w:rPr>
        <w:t xml:space="preserve">he four stake values are chosen in a way so that </w:t>
      </w:r>
      <w:r w:rsidR="00F71953">
        <w:rPr>
          <w:rFonts w:ascii="Times New Roman" w:hAnsi="Times New Roman" w:cs="Times New Roman"/>
          <w:sz w:val="24"/>
        </w:rPr>
        <w:t>r will be symmetric around 0, and t</w:t>
      </w:r>
      <w:r>
        <w:rPr>
          <w:rFonts w:ascii="Times New Roman" w:hAnsi="Times New Roman" w:cs="Times New Roman"/>
          <w:sz w:val="24"/>
        </w:rPr>
        <w:t xml:space="preserve">he midpoint of the range is often used as the risk attitude estimate for an individual.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Among these three elicitation methods, Holt and Laury’s task is the most popular and replicated measure. Also, this task is shown to yield the highest accuracy in experiments (Dave et al., 2010). More importantly, as Filippin and Crosetto mentioned in their article (2016), unlike the investment game and EG task, the HL task allows for risk-loving behaviors. Since re</w:t>
      </w:r>
      <w:r w:rsidR="00C76C78">
        <w:rPr>
          <w:rFonts w:ascii="Times New Roman" w:hAnsi="Times New Roman" w:cs="Times New Roman"/>
          <w:sz w:val="24"/>
        </w:rPr>
        <w:t>search shows that different</w:t>
      </w:r>
      <w:r>
        <w:rPr>
          <w:rFonts w:ascii="Times New Roman" w:hAnsi="Times New Roman" w:cs="Times New Roman"/>
          <w:sz w:val="24"/>
        </w:rPr>
        <w:t xml:space="preserve"> elicitation methods can lead to different</w:t>
      </w:r>
      <w:r w:rsidR="00C76C78">
        <w:rPr>
          <w:rFonts w:ascii="Times New Roman" w:hAnsi="Times New Roman" w:cs="Times New Roman"/>
          <w:sz w:val="24"/>
        </w:rPr>
        <w:t xml:space="preserve"> risk</w:t>
      </w:r>
      <w:r>
        <w:rPr>
          <w:rFonts w:ascii="Times New Roman" w:hAnsi="Times New Roman" w:cs="Times New Roman"/>
          <w:sz w:val="24"/>
        </w:rPr>
        <w:t xml:space="preserve"> estimates, for my research, I will rely on the HL task as the measure of risk attitudes. To measure risk, I will use the percentage of safe choice (Option A) made as the risk attitude proxy. A higher percentage indicates a higher level of risk aversion. </w:t>
      </w: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3.2. Culture Measurement</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According to Taras (2009), culture is a complicated multi-level construct and is a relatively stable characteristic belonging to a group or society. Given its subjective nature, quantifying culture is not an easy task. Since early 1900s, scholars in different fields have attempted to measure the various aspects of culture (Kuhn and McPartland, 1954; England, 1967). Among these attempts, the m</w:t>
      </w:r>
      <w:r w:rsidR="00A22319">
        <w:rPr>
          <w:rFonts w:ascii="Times New Roman" w:hAnsi="Times New Roman" w:cs="Times New Roman"/>
          <w:sz w:val="24"/>
        </w:rPr>
        <w:t>ost popular and dominant cultural</w:t>
      </w:r>
      <w:r>
        <w:rPr>
          <w:rFonts w:ascii="Times New Roman" w:hAnsi="Times New Roman" w:cs="Times New Roman"/>
          <w:sz w:val="24"/>
        </w:rPr>
        <w:t xml:space="preserve"> framework was developed by sociologist Hofstede, which wa</w:t>
      </w:r>
      <w:r w:rsidR="00C76C78">
        <w:rPr>
          <w:rFonts w:ascii="Times New Roman" w:hAnsi="Times New Roman" w:cs="Times New Roman"/>
          <w:sz w:val="24"/>
        </w:rPr>
        <w:t xml:space="preserve">s first documented in his book </w:t>
      </w:r>
      <w:r w:rsidR="00C76C78" w:rsidRPr="00C76C78">
        <w:rPr>
          <w:rFonts w:ascii="Times New Roman" w:hAnsi="Times New Roman" w:cs="Times New Roman"/>
          <w:i/>
          <w:sz w:val="24"/>
        </w:rPr>
        <w:t>Culture’s Consequences</w:t>
      </w:r>
      <w:r>
        <w:rPr>
          <w:rFonts w:ascii="Times New Roman" w:hAnsi="Times New Roman" w:cs="Times New Roman"/>
          <w:sz w:val="24"/>
        </w:rPr>
        <w:t xml:space="preserve"> (Hofstede, 1980). Using more than 100,000 employee value surveys c</w:t>
      </w:r>
      <w:r w:rsidR="00C76C78">
        <w:rPr>
          <w:rFonts w:ascii="Times New Roman" w:hAnsi="Times New Roman" w:cs="Times New Roman"/>
          <w:sz w:val="24"/>
        </w:rPr>
        <w:t>ollected by IBM from 93</w:t>
      </w:r>
      <w:r>
        <w:rPr>
          <w:rFonts w:ascii="Times New Roman" w:hAnsi="Times New Roman" w:cs="Times New Roman"/>
          <w:sz w:val="24"/>
        </w:rPr>
        <w:t xml:space="preserve"> countries, Hofstede defined national culture in 6 dimensions: power distance (PDI), individualism (IDV), masculinity (MAS), uncertainty avoidance (UAI), long-term orientation (LTO), and indulgence (IND), which I will go over in details below. </w:t>
      </w:r>
    </w:p>
    <w:p w:rsidR="00535F04" w:rsidRDefault="0020353E">
      <w:pPr>
        <w:spacing w:line="480" w:lineRule="auto"/>
        <w:ind w:firstLine="420"/>
        <w:jc w:val="left"/>
        <w:rPr>
          <w:rFonts w:ascii="Times New Roman" w:hAnsi="Times New Roman" w:cs="Times New Roman"/>
          <w:b/>
          <w:bCs/>
          <w:sz w:val="24"/>
        </w:rPr>
      </w:pPr>
      <w:r>
        <w:rPr>
          <w:rFonts w:ascii="Times New Roman" w:hAnsi="Times New Roman" w:cs="Times New Roman"/>
          <w:b/>
          <w:bCs/>
          <w:sz w:val="24"/>
        </w:rPr>
        <w:t xml:space="preserve">Power distance (PDI). </w:t>
      </w:r>
      <w:r>
        <w:rPr>
          <w:rFonts w:ascii="Times New Roman" w:hAnsi="Times New Roman" w:cs="Times New Roman"/>
          <w:sz w:val="24"/>
        </w:rPr>
        <w:t>Power distance is defined as the extent to which the less powerful members of a community within a country expect and accept that power is distributed unequally (Hofstede</w:t>
      </w:r>
      <w:r w:rsidR="00AA46D2">
        <w:rPr>
          <w:rFonts w:ascii="Times New Roman" w:hAnsi="Times New Roman" w:cs="Times New Roman"/>
          <w:sz w:val="24"/>
        </w:rPr>
        <w:t xml:space="preserve"> and Hofstede</w:t>
      </w:r>
      <w:r>
        <w:rPr>
          <w:rFonts w:ascii="Times New Roman" w:hAnsi="Times New Roman" w:cs="Times New Roman"/>
          <w:sz w:val="24"/>
        </w:rPr>
        <w:t>, 2005). Hence, this index reflects the view on inequality and the dynamic of authority and obedience. Exa</w:t>
      </w:r>
      <w:r w:rsidR="00DB0ABA">
        <w:rPr>
          <w:rFonts w:ascii="Times New Roman" w:hAnsi="Times New Roman" w:cs="Times New Roman"/>
          <w:sz w:val="24"/>
        </w:rPr>
        <w:t>mples of the questions used are</w:t>
      </w:r>
      <w:r>
        <w:rPr>
          <w:rFonts w:ascii="Times New Roman" w:hAnsi="Times New Roman" w:cs="Times New Roman"/>
          <w:sz w:val="24"/>
        </w:rPr>
        <w:t xml:space="preserve"> “how often do you feel fearful to express disagreement with your managers” and “what is your preference for your manager’s decision-making style (i.e. autocratic or consultative)</w:t>
      </w:r>
      <w:r w:rsidR="00F71953">
        <w:rPr>
          <w:rFonts w:ascii="Times New Roman" w:hAnsi="Times New Roman" w:cs="Times New Roman"/>
          <w:sz w:val="24"/>
        </w:rPr>
        <w:t>”</w:t>
      </w:r>
      <w:r>
        <w:rPr>
          <w:rFonts w:ascii="Times New Roman" w:hAnsi="Times New Roman" w:cs="Times New Roman"/>
          <w:sz w:val="24"/>
        </w:rPr>
        <w:t xml:space="preserve">. A high PDI index characterizes a society where inequality is expected or even desired, whereas a low PDI index indicates that subordinates and superiors consider each other as existentially equal in that society. The results show that most countries in Asia (e.g., Malaysia and the Philippines), Eastern Europe (e.g., Slovakia and Russia), Africa, and Arabic-speaking countries tend to have a high PDI, while German-speaking countries (e.g., Switzerland and Germany), the Nordic countries (e.g., Denmark and Finland), the United States, and Canada tend to have a low PDI. </w:t>
      </w:r>
    </w:p>
    <w:p w:rsidR="00535F04" w:rsidRDefault="0020353E">
      <w:pPr>
        <w:spacing w:line="480" w:lineRule="auto"/>
        <w:ind w:firstLine="420"/>
        <w:jc w:val="left"/>
        <w:rPr>
          <w:rFonts w:ascii="Times New Roman" w:hAnsi="Times New Roman" w:cs="Times New Roman"/>
          <w:b/>
          <w:bCs/>
          <w:sz w:val="24"/>
        </w:rPr>
      </w:pPr>
      <w:r>
        <w:rPr>
          <w:rFonts w:ascii="Times New Roman" w:hAnsi="Times New Roman" w:cs="Times New Roman"/>
          <w:b/>
          <w:bCs/>
          <w:sz w:val="24"/>
        </w:rPr>
        <w:t xml:space="preserve">Individualism (IDV). </w:t>
      </w:r>
      <w:r>
        <w:rPr>
          <w:rFonts w:ascii="Times New Roman" w:hAnsi="Times New Roman" w:cs="Times New Roman"/>
          <w:sz w:val="24"/>
        </w:rPr>
        <w:t>By definition, an individualistic society is one in which individuals have loose ties with others and everyone is expected to look after himself or herself and his or her immediate family. On the other hand, a collectivistic society is when people are integrated into cohesive in-groups with unquestioning loyalty (Hofstede</w:t>
      </w:r>
      <w:r w:rsidR="00AA46D2">
        <w:rPr>
          <w:rFonts w:ascii="Times New Roman" w:hAnsi="Times New Roman" w:cs="Times New Roman"/>
          <w:sz w:val="24"/>
        </w:rPr>
        <w:t xml:space="preserve"> and Hofstede</w:t>
      </w:r>
      <w:r>
        <w:rPr>
          <w:rFonts w:ascii="Times New Roman" w:hAnsi="Times New Roman" w:cs="Times New Roman"/>
          <w:sz w:val="24"/>
        </w:rPr>
        <w:t>, 2005). Items us</w:t>
      </w:r>
      <w:r w:rsidR="00DB0ABA">
        <w:rPr>
          <w:rFonts w:ascii="Times New Roman" w:hAnsi="Times New Roman" w:cs="Times New Roman"/>
          <w:sz w:val="24"/>
        </w:rPr>
        <w:t>ed on the questionnaire include</w:t>
      </w:r>
      <w:r>
        <w:rPr>
          <w:rFonts w:ascii="Times New Roman" w:hAnsi="Times New Roman" w:cs="Times New Roman"/>
          <w:sz w:val="24"/>
        </w:rPr>
        <w:t xml:space="preserve"> “how important is personal time to you” and “how important is freedom to you.” A high IDV score indicates that people in this society learn to think in terms of “I” and they view speaking one’s mind as a trait of an honest person. A low IDV score indicates that people in this society learn to think in terms of “we” and that harmony should always be maintained. Countries that display a high IDV include the United States, Australia, Great Britain, and Canada. Countries that have a low IDV include Guatemala, Ecuador, West Africa, and China.  </w:t>
      </w:r>
    </w:p>
    <w:p w:rsidR="00535F04" w:rsidRDefault="0020353E">
      <w:pPr>
        <w:spacing w:line="480" w:lineRule="auto"/>
        <w:ind w:firstLine="420"/>
        <w:jc w:val="left"/>
        <w:rPr>
          <w:rFonts w:ascii="Times New Roman" w:hAnsi="Times New Roman" w:cs="Times New Roman"/>
          <w:b/>
          <w:bCs/>
          <w:sz w:val="24"/>
        </w:rPr>
      </w:pPr>
      <w:r>
        <w:rPr>
          <w:rFonts w:ascii="Times New Roman" w:hAnsi="Times New Roman" w:cs="Times New Roman"/>
          <w:b/>
          <w:bCs/>
          <w:sz w:val="24"/>
        </w:rPr>
        <w:t xml:space="preserve">Masculinity (MAS). </w:t>
      </w:r>
      <w:r>
        <w:rPr>
          <w:rFonts w:ascii="Times New Roman" w:hAnsi="Times New Roman" w:cs="Times New Roman"/>
          <w:sz w:val="24"/>
        </w:rPr>
        <w:t>A society is labeled as masculine if it emphasizes achievements, and more importantly, if gender roles are clearly distinguished: men are expected to be assertive, tough, and competitive, whereas women are expected to be modest, tender, and value the importance of relationships. On the contrary, a society is labeled as feminine when gender roles overlap: both men and women are modest, tender, and concerned with relationships as well as quality of life (Hofstede</w:t>
      </w:r>
      <w:r w:rsidR="00AA46D2">
        <w:rPr>
          <w:rFonts w:ascii="Times New Roman" w:hAnsi="Times New Roman" w:cs="Times New Roman"/>
          <w:sz w:val="24"/>
        </w:rPr>
        <w:t xml:space="preserve"> and Hofstede</w:t>
      </w:r>
      <w:r>
        <w:rPr>
          <w:rFonts w:ascii="Times New Roman" w:hAnsi="Times New Roman" w:cs="Times New Roman"/>
          <w:sz w:val="24"/>
        </w:rPr>
        <w:t>,</w:t>
      </w:r>
      <w:r w:rsidR="00DB0ABA">
        <w:rPr>
          <w:rFonts w:ascii="Times New Roman" w:hAnsi="Times New Roman" w:cs="Times New Roman"/>
          <w:sz w:val="24"/>
        </w:rPr>
        <w:t xml:space="preserve"> 2005). An example of q</w:t>
      </w:r>
      <w:r>
        <w:rPr>
          <w:rFonts w:ascii="Times New Roman" w:hAnsi="Times New Roman" w:cs="Times New Roman"/>
          <w:sz w:val="24"/>
        </w:rPr>
        <w:t>uestions r</w:t>
      </w:r>
      <w:r w:rsidR="00DB0ABA">
        <w:rPr>
          <w:rFonts w:ascii="Times New Roman" w:hAnsi="Times New Roman" w:cs="Times New Roman"/>
          <w:sz w:val="24"/>
        </w:rPr>
        <w:t>egarding to masculinity is</w:t>
      </w:r>
      <w:r>
        <w:rPr>
          <w:rFonts w:ascii="Times New Roman" w:hAnsi="Times New Roman" w:cs="Times New Roman"/>
          <w:sz w:val="24"/>
        </w:rPr>
        <w:t xml:space="preserve"> “how important is recognition and advancement to you.” Unlike PDI and IDV, Hofstede found this index to be completely unrelated to national wealth. Countries that display a high MAS include Slovakia, Japan, Hungary, and Venezuela. Countries that have a low MAS include Sweden, Norway, Netherlands, Denmark, and Costa Rica.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b/>
          <w:bCs/>
          <w:sz w:val="24"/>
        </w:rPr>
        <w:t xml:space="preserve">Uncertainty avoidance (UAI). </w:t>
      </w:r>
      <w:r>
        <w:rPr>
          <w:rFonts w:ascii="Times New Roman" w:hAnsi="Times New Roman" w:cs="Times New Roman"/>
          <w:sz w:val="24"/>
        </w:rPr>
        <w:t>This index is a measure of the extent to which the members of a society feel threatened by ambiguous situations (Hofstede</w:t>
      </w:r>
      <w:r w:rsidR="00AA46D2" w:rsidRPr="00AA46D2">
        <w:rPr>
          <w:rFonts w:ascii="Times New Roman" w:hAnsi="Times New Roman" w:cs="Times New Roman"/>
          <w:sz w:val="24"/>
        </w:rPr>
        <w:t xml:space="preserve"> </w:t>
      </w:r>
      <w:r w:rsidR="00AA46D2">
        <w:rPr>
          <w:rFonts w:ascii="Times New Roman" w:hAnsi="Times New Roman" w:cs="Times New Roman"/>
          <w:sz w:val="24"/>
        </w:rPr>
        <w:t>and Hofstede</w:t>
      </w:r>
      <w:r>
        <w:rPr>
          <w:rFonts w:ascii="Times New Roman" w:hAnsi="Times New Roman" w:cs="Times New Roman"/>
          <w:sz w:val="24"/>
        </w:rPr>
        <w:t>, 2005). To measure UAI, quest</w:t>
      </w:r>
      <w:r w:rsidR="00DB0ABA">
        <w:rPr>
          <w:rFonts w:ascii="Times New Roman" w:hAnsi="Times New Roman" w:cs="Times New Roman"/>
          <w:sz w:val="24"/>
        </w:rPr>
        <w:t>ions that Hofstede used include</w:t>
      </w:r>
      <w:r>
        <w:rPr>
          <w:rFonts w:ascii="Times New Roman" w:hAnsi="Times New Roman" w:cs="Times New Roman"/>
          <w:sz w:val="24"/>
        </w:rPr>
        <w:t xml:space="preserve"> “how many years do you think yo</w:t>
      </w:r>
      <w:r w:rsidR="00DB0ABA">
        <w:rPr>
          <w:rFonts w:ascii="Times New Roman" w:hAnsi="Times New Roman" w:cs="Times New Roman"/>
          <w:sz w:val="24"/>
        </w:rPr>
        <w:t>u will continue working for IBM</w:t>
      </w:r>
      <w:r>
        <w:rPr>
          <w:rFonts w:ascii="Times New Roman" w:hAnsi="Times New Roman" w:cs="Times New Roman"/>
          <w:sz w:val="24"/>
        </w:rPr>
        <w:t xml:space="preserve"> (2 years at the most, 2-5 years, more than 5 years, or until you retire).</w:t>
      </w:r>
      <w:r w:rsidR="00DB0ABA">
        <w:rPr>
          <w:rFonts w:ascii="Times New Roman" w:hAnsi="Times New Roman" w:cs="Times New Roman"/>
          <w:sz w:val="24"/>
        </w:rPr>
        <w:t>”</w:t>
      </w:r>
      <w:r>
        <w:rPr>
          <w:rFonts w:ascii="Times New Roman" w:hAnsi="Times New Roman" w:cs="Times New Roman"/>
          <w:sz w:val="24"/>
        </w:rPr>
        <w:t xml:space="preserve"> Also, Hofstede made a special note that UAI should not be confused with risk preference. While risk often describes the likelihood of certain results, uncertainty describes a situation when anything could happen and no probability is attached to it. UAI tends to be high in Latin American and Mediterranean countries, and it tends to be low in many African, and the Anglo and Nordic countries. </w:t>
      </w:r>
    </w:p>
    <w:p w:rsidR="00535F04" w:rsidRDefault="0020353E">
      <w:pPr>
        <w:spacing w:line="480" w:lineRule="auto"/>
        <w:ind w:firstLine="420"/>
        <w:jc w:val="left"/>
        <w:rPr>
          <w:rFonts w:ascii="Times New Roman" w:hAnsi="Times New Roman" w:cs="Times New Roman"/>
          <w:b/>
          <w:bCs/>
          <w:sz w:val="24"/>
        </w:rPr>
      </w:pPr>
      <w:r>
        <w:rPr>
          <w:rFonts w:ascii="Times New Roman" w:hAnsi="Times New Roman" w:cs="Times New Roman"/>
          <w:b/>
          <w:bCs/>
          <w:sz w:val="24"/>
        </w:rPr>
        <w:t xml:space="preserve">Long-term orientation (LTO). </w:t>
      </w:r>
      <w:r>
        <w:rPr>
          <w:rFonts w:ascii="Times New Roman" w:hAnsi="Times New Roman" w:cs="Times New Roman"/>
          <w:sz w:val="24"/>
        </w:rPr>
        <w:t>The fifth</w:t>
      </w:r>
      <w:r w:rsidR="00A22319">
        <w:rPr>
          <w:rFonts w:ascii="Times New Roman" w:hAnsi="Times New Roman" w:cs="Times New Roman"/>
          <w:sz w:val="24"/>
        </w:rPr>
        <w:t xml:space="preserve"> dimension of Hofstede’s cultural</w:t>
      </w:r>
      <w:r>
        <w:rPr>
          <w:rFonts w:ascii="Times New Roman" w:hAnsi="Times New Roman" w:cs="Times New Roman"/>
          <w:sz w:val="24"/>
        </w:rPr>
        <w:t xml:space="preserve"> framework is related to a long-term versus short-term orientation. Characteristics of people in a long-term oriented society include being perseverant, thrifty, and willing to subordinate oneself for a purpose, whereas people in a short-term oriented society hold the belief that efforts should produce quick results and are socially pressured toward spending. Ite</w:t>
      </w:r>
      <w:r w:rsidR="009D1351">
        <w:rPr>
          <w:rFonts w:ascii="Times New Roman" w:hAnsi="Times New Roman" w:cs="Times New Roman"/>
          <w:sz w:val="24"/>
        </w:rPr>
        <w:t>ms on the questionnaire include</w:t>
      </w:r>
      <w:r>
        <w:rPr>
          <w:rFonts w:ascii="Times New Roman" w:hAnsi="Times New Roman" w:cs="Times New Roman"/>
          <w:sz w:val="24"/>
        </w:rPr>
        <w:t xml:space="preserve"> “to what extent do you agree that persistent efforts are the surest way to results.” Countries in East Asia have the highest ranks in LTO, especially China, Japan, and Vietnam, and the United States, Great Britain, Zimbabwe, and Canada score on the short-term side.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b/>
          <w:bCs/>
          <w:sz w:val="24"/>
        </w:rPr>
        <w:t xml:space="preserve">Indulgence (IND). </w:t>
      </w:r>
      <w:r w:rsidR="00A22319">
        <w:rPr>
          <w:rFonts w:ascii="Times New Roman" w:hAnsi="Times New Roman" w:cs="Times New Roman"/>
          <w:sz w:val="24"/>
        </w:rPr>
        <w:t>This last cultural</w:t>
      </w:r>
      <w:r>
        <w:rPr>
          <w:rFonts w:ascii="Times New Roman" w:hAnsi="Times New Roman" w:cs="Times New Roman"/>
          <w:sz w:val="24"/>
        </w:rPr>
        <w:t xml:space="preserve"> dimension was not added into the framework until 2010, when Hofstede updated his theory with his book, </w:t>
      </w:r>
      <w:r>
        <w:rPr>
          <w:rFonts w:ascii="Times New Roman" w:hAnsi="Times New Roman" w:cs="Times New Roman"/>
          <w:i/>
          <w:iCs/>
          <w:sz w:val="24"/>
        </w:rPr>
        <w:t>Cultures and Organizations</w:t>
      </w:r>
      <w:r>
        <w:rPr>
          <w:rFonts w:ascii="Times New Roman" w:hAnsi="Times New Roman" w:cs="Times New Roman"/>
          <w:sz w:val="24"/>
        </w:rPr>
        <w:t xml:space="preserve"> (Hofstede</w:t>
      </w:r>
      <w:r w:rsidR="00AA46D2">
        <w:rPr>
          <w:rFonts w:ascii="Times New Roman" w:hAnsi="Times New Roman" w:cs="Times New Roman"/>
          <w:sz w:val="24"/>
        </w:rPr>
        <w:t>, Hofstede, and Minkov</w:t>
      </w:r>
      <w:r>
        <w:rPr>
          <w:rFonts w:ascii="Times New Roman" w:hAnsi="Times New Roman" w:cs="Times New Roman"/>
          <w:sz w:val="24"/>
        </w:rPr>
        <w:t>, 2010). According to Hofstede, indulgence represents the case when a society freely allows people to pursue natural human desires and enjoy life. On the other hand, a restraint society suppresses this free gratification and regulate it with strict norms. The questio</w:t>
      </w:r>
      <w:r w:rsidR="009D1351">
        <w:rPr>
          <w:rFonts w:ascii="Times New Roman" w:hAnsi="Times New Roman" w:cs="Times New Roman"/>
          <w:sz w:val="24"/>
        </w:rPr>
        <w:t>n</w:t>
      </w:r>
      <w:r w:rsidR="00F71953">
        <w:rPr>
          <w:rFonts w:ascii="Times New Roman" w:hAnsi="Times New Roman" w:cs="Times New Roman"/>
          <w:sz w:val="24"/>
        </w:rPr>
        <w:t>s used by Hofstede include</w:t>
      </w:r>
      <w:r>
        <w:rPr>
          <w:rFonts w:ascii="Times New Roman" w:hAnsi="Times New Roman" w:cs="Times New Roman"/>
          <w:sz w:val="24"/>
        </w:rPr>
        <w:t xml:space="preserve"> “in your private life, how important is keeping time free for fun to you.” Countries in South and North America, and Western Europe show high IND, whereas countries in Eastern Europe, Asia, and Muslim countries display low IND (Hofstede, 2011). </w:t>
      </w:r>
    </w:p>
    <w:p w:rsidR="00535F04" w:rsidRDefault="001C5A82">
      <w:pPr>
        <w:spacing w:line="480" w:lineRule="auto"/>
        <w:ind w:firstLine="420"/>
        <w:jc w:val="left"/>
        <w:rPr>
          <w:rFonts w:ascii="Times New Roman" w:hAnsi="Times New Roman" w:cs="Times New Roman"/>
          <w:sz w:val="24"/>
        </w:rPr>
      </w:pPr>
      <w:r>
        <w:rPr>
          <w:rFonts w:ascii="Times New Roman" w:hAnsi="Times New Roman" w:cs="Times New Roman"/>
          <w:sz w:val="24"/>
        </w:rPr>
        <w:t>Since its publication in 1980</w:t>
      </w:r>
      <w:r w:rsidR="0020353E">
        <w:rPr>
          <w:rFonts w:ascii="Times New Roman" w:hAnsi="Times New Roman" w:cs="Times New Roman"/>
          <w:sz w:val="24"/>
        </w:rPr>
        <w:t xml:space="preserve">, Hofstede’s model has been the most well-known framework without a doubt, and it has been applied to many different fields, especially in cross-cultural studies and international business management. Although the initial study was done with an enormous sample of IBM employees across nations, subsequent studies over the decades have confirmed and extended these results to occupationally different populations, including students, teachers, pilots and so on (Mihet, 2012). With Hofstede’s </w:t>
      </w:r>
      <w:r w:rsidR="00F71953">
        <w:rPr>
          <w:rFonts w:ascii="Times New Roman" w:hAnsi="Times New Roman" w:cs="Times New Roman"/>
          <w:sz w:val="24"/>
        </w:rPr>
        <w:t xml:space="preserve">cultural </w:t>
      </w:r>
      <w:r w:rsidR="0020353E">
        <w:rPr>
          <w:rFonts w:ascii="Times New Roman" w:hAnsi="Times New Roman" w:cs="Times New Roman"/>
          <w:sz w:val="24"/>
        </w:rPr>
        <w:t xml:space="preserve">model, I am able to make systematic cross-cultural comparisons, and more importantly, interpret the results in a meaningful way. The data </w:t>
      </w:r>
      <w:r w:rsidR="00F71953">
        <w:rPr>
          <w:rFonts w:ascii="Times New Roman" w:hAnsi="Times New Roman" w:cs="Times New Roman"/>
          <w:sz w:val="24"/>
        </w:rPr>
        <w:t>were</w:t>
      </w:r>
      <w:r w:rsidR="0020353E">
        <w:rPr>
          <w:rFonts w:ascii="Times New Roman" w:hAnsi="Times New Roman" w:cs="Times New Roman"/>
          <w:sz w:val="24"/>
        </w:rPr>
        <w:t xml:space="preserve"> directly downloaded from Hofstede website, and they were last updated in 2010, which match</w:t>
      </w:r>
      <w:r w:rsidR="009D1351">
        <w:rPr>
          <w:rFonts w:ascii="Times New Roman" w:hAnsi="Times New Roman" w:cs="Times New Roman"/>
          <w:sz w:val="24"/>
        </w:rPr>
        <w:t>es</w:t>
      </w:r>
      <w:r w:rsidR="0020353E">
        <w:rPr>
          <w:rFonts w:ascii="Times New Roman" w:hAnsi="Times New Roman" w:cs="Times New Roman"/>
          <w:sz w:val="24"/>
        </w:rPr>
        <w:t xml:space="preserve"> the period when the risk experiments </w:t>
      </w:r>
      <w:r w:rsidR="00F71953">
        <w:rPr>
          <w:rFonts w:ascii="Times New Roman" w:hAnsi="Times New Roman" w:cs="Times New Roman"/>
          <w:sz w:val="24"/>
        </w:rPr>
        <w:t xml:space="preserve">in my sample </w:t>
      </w:r>
      <w:r w:rsidR="0020353E">
        <w:rPr>
          <w:rFonts w:ascii="Times New Roman" w:hAnsi="Times New Roman" w:cs="Times New Roman"/>
          <w:sz w:val="24"/>
        </w:rPr>
        <w:t xml:space="preserve">were conducted. </w:t>
      </w: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3.3. Data Description</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b/>
          <w:bCs/>
          <w:sz w:val="24"/>
        </w:rPr>
        <w:t xml:space="preserve">Risk Measurement. </w:t>
      </w:r>
      <w:r>
        <w:rPr>
          <w:rFonts w:ascii="Times New Roman" w:hAnsi="Times New Roman" w:cs="Times New Roman"/>
          <w:sz w:val="24"/>
        </w:rPr>
        <w:t>As I briefly mentioned in the methodology section, data on risk attitudes came from Filippin and Crosetto’s (2016) meta-analysis of HL task, where they were testing for gender differences in risk attitudes, without looking at cultural variations. The original Filippin and Crosetto dataset covered 63 different papers and 8713 subjects, which made it the largest meta-analysis on gender differences in risk attitudes compared to all previous literature.</w:t>
      </w:r>
    </w:p>
    <w:p w:rsidR="00F71953" w:rsidRDefault="0020353E" w:rsidP="00F71953">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In order to use this micro-data set, I contacted authors of each individual paper to get permission to use their studies. Furthermore, since many scholars have argued and provided evidence that cross-cultural studies need to be conducted in a homogenous sample to control for background factors (Hofstede, 2001; Matsumoto and Vijver, 2011), I only included student samples for my study. Out of the 63 papers compiled by Filippin and Crosetto, I was left with 39 studies after excluding (1) studies from which I did not hear back and thus, I did not have permission to use; (2) studies that used a multinational sample, but I did not have information on where individual subjects came from; (3) studies that included both students and non-students samples, but I did not have information to distinguish them in the data set. The list of the papers included is shown in Figure 3. There </w:t>
      </w:r>
      <w:r w:rsidR="009D1351">
        <w:rPr>
          <w:rFonts w:ascii="Times New Roman" w:hAnsi="Times New Roman" w:cs="Times New Roman"/>
          <w:sz w:val="24"/>
        </w:rPr>
        <w:t>are</w:t>
      </w:r>
      <w:r>
        <w:rPr>
          <w:rFonts w:ascii="Times New Roman" w:hAnsi="Times New Roman" w:cs="Times New Roman"/>
          <w:sz w:val="24"/>
        </w:rPr>
        <w:t xml:space="preserve"> 4179 subjects in total, with a roughly balanced sample of females and males (2183 males and 1996 females).</w:t>
      </w:r>
      <w:r w:rsidR="009D1351">
        <w:rPr>
          <w:rFonts w:ascii="Times New Roman" w:hAnsi="Times New Roman" w:cs="Times New Roman"/>
          <w:sz w:val="24"/>
        </w:rPr>
        <w:t xml:space="preserve"> The countries analyzed include</w:t>
      </w:r>
      <w:r>
        <w:rPr>
          <w:rFonts w:ascii="Times New Roman" w:hAnsi="Times New Roman" w:cs="Times New Roman"/>
          <w:sz w:val="24"/>
        </w:rPr>
        <w:t xml:space="preserve"> Austria, Canada, Colombia, France, Germany, Greece, India, Israel, Morocco, Netherlands, Spain, and the United States. </w:t>
      </w:r>
    </w:p>
    <w:p w:rsidR="00F71953" w:rsidRDefault="00F71953" w:rsidP="00F71953">
      <w:pPr>
        <w:spacing w:line="480" w:lineRule="auto"/>
        <w:ind w:firstLine="420"/>
        <w:jc w:val="left"/>
        <w:rPr>
          <w:rFonts w:ascii="Times New Roman" w:hAnsi="Times New Roman" w:cs="Times New Roman"/>
          <w:sz w:val="24"/>
        </w:rPr>
      </w:pPr>
      <w:r>
        <w:rPr>
          <w:rFonts w:ascii="Times New Roman" w:hAnsi="Times New Roman" w:cs="Times New Roman" w:hint="eastAsia"/>
          <w:sz w:val="24"/>
        </w:rPr>
        <w:t>A</w:t>
      </w:r>
      <w:r>
        <w:rPr>
          <w:rFonts w:ascii="Times New Roman" w:hAnsi="Times New Roman" w:cs="Times New Roman"/>
          <w:sz w:val="24"/>
        </w:rPr>
        <w:t xml:space="preserve">s mentioned in Section 3.1, I am using the percentage of safe choices made as the proxy for risk attitudes, and it is between 0 and 1. A higher percentage indicates a higher level of risk aversion, and vice versa. The average safe choice percentage is around 0.58 for the entire sample, which shows that people are risk averse in general. The average safe choice percentage for females is around 0.60, which is greater than that of males (P = 0.57). This is consistent with the literature that women tend to be more risk averse than men are. </w:t>
      </w:r>
    </w:p>
    <w:p w:rsidR="005529F2" w:rsidRDefault="005529F2" w:rsidP="00F71953">
      <w:pPr>
        <w:spacing w:line="480" w:lineRule="auto"/>
        <w:ind w:firstLine="420"/>
        <w:jc w:val="left"/>
        <w:rPr>
          <w:rFonts w:ascii="Times New Roman" w:hAnsi="Times New Roman" w:cs="Times New Roman"/>
          <w:sz w:val="24"/>
        </w:rPr>
      </w:pP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Figure 3. Paper List.</w:t>
      </w:r>
    </w:p>
    <w:tbl>
      <w:tblPr>
        <w:tblStyle w:val="TableGrid"/>
        <w:tblW w:w="5688" w:type="dxa"/>
        <w:tblLayout w:type="fixed"/>
        <w:tblLook w:val="04A0" w:firstRow="1" w:lastRow="0" w:firstColumn="1" w:lastColumn="0" w:noHBand="0" w:noVBand="1"/>
      </w:tblPr>
      <w:tblGrid>
        <w:gridCol w:w="3348"/>
        <w:gridCol w:w="2340"/>
      </w:tblGrid>
      <w:tr w:rsidR="00535F04">
        <w:tc>
          <w:tcPr>
            <w:tcW w:w="3348" w:type="dxa"/>
          </w:tcPr>
          <w:p w:rsidR="00535F04" w:rsidRDefault="0020353E">
            <w:pPr>
              <w:spacing w:line="240" w:lineRule="auto"/>
              <w:jc w:val="left"/>
              <w:rPr>
                <w:rFonts w:ascii="Times New Roman" w:hAnsi="Times New Roman" w:cs="Times New Roman"/>
                <w:b/>
                <w:sz w:val="24"/>
              </w:rPr>
            </w:pPr>
            <w:r>
              <w:rPr>
                <w:rFonts w:ascii="Times New Roman" w:hAnsi="Times New Roman" w:cs="Times New Roman"/>
                <w:b/>
                <w:sz w:val="24"/>
              </w:rPr>
              <w:t>Article</w:t>
            </w:r>
          </w:p>
        </w:tc>
        <w:tc>
          <w:tcPr>
            <w:tcW w:w="2340" w:type="dxa"/>
          </w:tcPr>
          <w:p w:rsidR="00535F04" w:rsidRDefault="0020353E">
            <w:pPr>
              <w:spacing w:line="240" w:lineRule="auto"/>
              <w:jc w:val="left"/>
              <w:rPr>
                <w:rFonts w:ascii="Times New Roman" w:hAnsi="Times New Roman" w:cs="Times New Roman"/>
                <w:b/>
                <w:sz w:val="24"/>
              </w:rPr>
            </w:pPr>
            <w:r>
              <w:rPr>
                <w:rFonts w:ascii="Times New Roman" w:hAnsi="Times New Roman" w:cs="Times New Roman"/>
                <w:b/>
                <w:sz w:val="24"/>
              </w:rPr>
              <w:t>Country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Abdellaoui et al.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Morocco</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Bauernschuster et al. (2010)</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Chakravarty et al.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India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Chen et al. (2013)</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Crosetto and Filippin (2013)</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Dave et al. (2010)</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Canada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Deck et al. (2012a)</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Delnoij (2013)</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Netherlands</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Dickinson (2009)</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Drichoutis and Nayga (2015)</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Greece</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Eckel and Wilson (2006)</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Fiedler and Glockner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Fiore et al. (2009)</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Gloeckner and Hilbig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Gloeckner and Pachur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Harrison et al. (2013)</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Colombia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Harrison et al. (2007)</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 xml:space="preserve">Holt and Laury (2002) </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Jacquemet et al. (2008)</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France</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Jamison et al. (2008)</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Kocher et al.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Netherlands</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Lange et al. (2007a)</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Lange et al. (2007b)</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Levy-Garboua et al.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France</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Lusk and Coble (2015)</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Mueller and Schwieren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Nieken and Schmitz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Pogrebna et al.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Germany</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Ponti and Carbone (2009)</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Spain</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Rosaz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France</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Rosaz and Villeval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France</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Ryvkin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Schipper (2012)</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Schram and Sonnemans (2011)</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Netherlands</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Shafran (2010)</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Slonim and Guillen (2010)</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USA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Sloof and van Praag (2010)</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Netherlands</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Wakolbinger and Haigner (2009)</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Austria</w:t>
            </w:r>
          </w:p>
        </w:tc>
      </w:tr>
      <w:tr w:rsidR="00535F04">
        <w:tc>
          <w:tcPr>
            <w:tcW w:w="3348"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Yechiam and Hochman (2013)</w:t>
            </w:r>
          </w:p>
        </w:tc>
        <w:tc>
          <w:tcPr>
            <w:tcW w:w="2340" w:type="dxa"/>
          </w:tcPr>
          <w:p w:rsidR="00535F04" w:rsidRDefault="0020353E">
            <w:pPr>
              <w:spacing w:line="240" w:lineRule="auto"/>
              <w:jc w:val="left"/>
              <w:rPr>
                <w:rFonts w:ascii="Times New Roman" w:hAnsi="Times New Roman" w:cs="Times New Roman"/>
                <w:sz w:val="24"/>
              </w:rPr>
            </w:pPr>
            <w:r>
              <w:rPr>
                <w:rFonts w:ascii="Times New Roman" w:hAnsi="Times New Roman" w:cs="Times New Roman"/>
                <w:sz w:val="24"/>
              </w:rPr>
              <w:t>Israel</w:t>
            </w:r>
          </w:p>
        </w:tc>
      </w:tr>
    </w:tbl>
    <w:p w:rsidR="00535F04" w:rsidRDefault="00A22319">
      <w:pPr>
        <w:spacing w:line="480" w:lineRule="auto"/>
        <w:jc w:val="left"/>
        <w:rPr>
          <w:rFonts w:ascii="Times New Roman" w:hAnsi="Times New Roman" w:cs="Times New Roman"/>
          <w:b/>
          <w:bCs/>
          <w:sz w:val="24"/>
        </w:rPr>
      </w:pPr>
      <w:r>
        <w:rPr>
          <w:rFonts w:ascii="Times New Roman" w:hAnsi="Times New Roman" w:cs="Times New Roman"/>
          <w:b/>
          <w:bCs/>
          <w:sz w:val="24"/>
        </w:rPr>
        <w:t>Figure 4. Cultural</w:t>
      </w:r>
      <w:r w:rsidR="0020353E">
        <w:rPr>
          <w:rFonts w:ascii="Times New Roman" w:hAnsi="Times New Roman" w:cs="Times New Roman"/>
          <w:b/>
          <w:bCs/>
          <w:sz w:val="24"/>
        </w:rPr>
        <w:t xml:space="preserve"> Parameters Summary Statistics.</w:t>
      </w:r>
      <w:r w:rsidR="0020353E">
        <w:rPr>
          <w:rFonts w:ascii="Times New Roman" w:hAnsi="Times New Roman" w:cs="Times New Roman"/>
          <w:sz w:val="24"/>
        </w:rPr>
        <w:fldChar w:fldCharType="begin"/>
      </w:r>
      <w:r w:rsidR="0020353E">
        <w:rPr>
          <w:rFonts w:ascii="Times New Roman" w:hAnsi="Times New Roman" w:cs="Times New Roman"/>
          <w:sz w:val="24"/>
        </w:rPr>
        <w:instrText xml:space="preserve">INCLUDEPICTURE \d "https://lh3.googleusercontent.com/suyuc9RIPdTWSGDkcjX8VQag2kD272qqVcpB7ZKgONv2xnKDqSPcowoxRorPas0U8bZlGuddAqpvsDE7ezKfKDjLSEHnh3Rm9za0hOx8wam37slkSPMXQjDEVeeFXKsTsFqU2ASTAj4" \* MERGEFORMATINET </w:instrText>
      </w:r>
      <w:r w:rsidR="0020353E">
        <w:rPr>
          <w:rFonts w:ascii="Times New Roman" w:hAnsi="Times New Roman" w:cs="Times New Roman"/>
          <w:sz w:val="24"/>
        </w:rPr>
        <w:fldChar w:fldCharType="end"/>
      </w:r>
    </w:p>
    <w:tbl>
      <w:tblPr>
        <w:tblStyle w:val="TableGrid1"/>
        <w:tblW w:w="9576" w:type="dxa"/>
        <w:jc w:val="center"/>
        <w:tblLayout w:type="fixed"/>
        <w:tblLook w:val="04A0" w:firstRow="1" w:lastRow="0" w:firstColumn="1" w:lastColumn="0" w:noHBand="0" w:noVBand="1"/>
      </w:tblPr>
      <w:tblGrid>
        <w:gridCol w:w="1915"/>
        <w:gridCol w:w="1915"/>
        <w:gridCol w:w="1915"/>
        <w:gridCol w:w="1915"/>
        <w:gridCol w:w="1916"/>
      </w:tblGrid>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Variables</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Mean</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Standard Deviation</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Min</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Max</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Power Distance</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.4282464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.1214493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.11        </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.77</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Individualism</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.7498409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.161752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.13        </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.91</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Masculinity</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.551977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.1502866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.14</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.79</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Uncertainty Avoidance</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.5825863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.1546255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.4          </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Long-term Orientation</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.47413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.2237466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.13        </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.83</w:t>
            </w:r>
          </w:p>
        </w:tc>
      </w:tr>
      <w:tr w:rsidR="00535F04">
        <w:trPr>
          <w:trHeight w:val="506"/>
          <w:jc w:val="center"/>
        </w:trPr>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Indulgence</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.5930794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.1245114        </w:t>
            </w:r>
          </w:p>
        </w:tc>
        <w:tc>
          <w:tcPr>
            <w:tcW w:w="1915"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.25        </w:t>
            </w:r>
          </w:p>
        </w:tc>
        <w:tc>
          <w:tcPr>
            <w:tcW w:w="1916" w:type="dxa"/>
          </w:tcPr>
          <w:p w:rsidR="00535F04" w:rsidRDefault="0020353E">
            <w:pPr>
              <w:widowControl/>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.83</w:t>
            </w:r>
          </w:p>
        </w:tc>
      </w:tr>
    </w:tbl>
    <w:p w:rsidR="00535F04" w:rsidRDefault="00535F04">
      <w:pPr>
        <w:spacing w:line="480" w:lineRule="auto"/>
        <w:jc w:val="left"/>
        <w:rPr>
          <w:rFonts w:ascii="Times New Roman" w:hAnsi="Times New Roman" w:cs="Times New Roman"/>
          <w:sz w:val="24"/>
        </w:rPr>
      </w:pP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b/>
          <w:bCs/>
          <w:sz w:val="24"/>
        </w:rPr>
        <w:t xml:space="preserve">Culture Measurement. </w:t>
      </w:r>
      <w:r w:rsidR="00A22319">
        <w:rPr>
          <w:rFonts w:ascii="Times New Roman" w:hAnsi="Times New Roman" w:cs="Times New Roman"/>
          <w:sz w:val="24"/>
        </w:rPr>
        <w:t>Each cultural</w:t>
      </w:r>
      <w:r w:rsidR="009D1351">
        <w:rPr>
          <w:rFonts w:ascii="Times New Roman" w:hAnsi="Times New Roman" w:cs="Times New Roman"/>
          <w:sz w:val="24"/>
        </w:rPr>
        <w:t xml:space="preserve"> index takes a value between 0 and 1. </w:t>
      </w:r>
      <w:r>
        <w:rPr>
          <w:rFonts w:ascii="Times New Roman" w:hAnsi="Times New Roman" w:cs="Times New Roman"/>
          <w:sz w:val="24"/>
        </w:rPr>
        <w:t>As demonstrated in the summary statistics in Figure 4, the 12 countries included in my study show a high degree of variation in these culture characteristics, which makes the cross-cultural comparison in</w:t>
      </w:r>
      <w:r w:rsidR="00D924DC">
        <w:rPr>
          <w:rFonts w:ascii="Times New Roman" w:hAnsi="Times New Roman" w:cs="Times New Roman"/>
          <w:sz w:val="24"/>
        </w:rPr>
        <w:t>teresting. However, as shown</w:t>
      </w:r>
      <w:r>
        <w:rPr>
          <w:rFonts w:ascii="Times New Roman" w:hAnsi="Times New Roman" w:cs="Times New Roman"/>
          <w:sz w:val="24"/>
        </w:rPr>
        <w:t xml:space="preserve"> in the correlation matrix (Figure 5)</w:t>
      </w:r>
      <w:r w:rsidR="00A22319">
        <w:rPr>
          <w:rFonts w:ascii="Times New Roman" w:hAnsi="Times New Roman" w:cs="Times New Roman"/>
          <w:sz w:val="24"/>
        </w:rPr>
        <w:t xml:space="preserve">, one issue with the cultural </w:t>
      </w:r>
      <w:r>
        <w:rPr>
          <w:rFonts w:ascii="Times New Roman" w:hAnsi="Times New Roman" w:cs="Times New Roman"/>
          <w:sz w:val="24"/>
        </w:rPr>
        <w:t>data is that some of them are highly correlated. According to Mislick and Nussbaum (2015), as well as other statisticians, two variables are highly correlated when the correlation is higher than 0.7. For my sample, IDV (individualism)/UAI (uncertainty aversion), and LTO (long-term orientation)/IND (indulgence) are highly correlated (r = -0.7591 and r = -0.7669). This cor</w:t>
      </w:r>
      <w:r w:rsidR="00A22319">
        <w:rPr>
          <w:rFonts w:ascii="Times New Roman" w:hAnsi="Times New Roman" w:cs="Times New Roman"/>
          <w:sz w:val="24"/>
        </w:rPr>
        <w:t>relation between certain cultural</w:t>
      </w:r>
      <w:r>
        <w:rPr>
          <w:rFonts w:ascii="Times New Roman" w:hAnsi="Times New Roman" w:cs="Times New Roman"/>
          <w:sz w:val="24"/>
        </w:rPr>
        <w:t xml:space="preserve"> dimensions is also noted by Hofstede (2005) in his book. Neglecting this issue can result in multicollinearity and invalid coefficient estimates for individual variables. Hence, I threw out one variable from each pair in my regression. The regression below shows the results from excluding uncertainty aversion and long-term orientation. However, I also replicated the regression by changing which variables to exclude, and the results remained the same. </w:t>
      </w:r>
    </w:p>
    <w:p w:rsidR="005529F2" w:rsidRDefault="005529F2" w:rsidP="005529F2">
      <w:pPr>
        <w:spacing w:line="480" w:lineRule="auto"/>
        <w:jc w:val="left"/>
        <w:rPr>
          <w:rFonts w:ascii="Times New Roman" w:hAnsi="Times New Roman" w:cs="Times New Roman"/>
          <w:b/>
          <w:bCs/>
          <w:sz w:val="24"/>
        </w:rPr>
      </w:pPr>
      <w:r>
        <w:rPr>
          <w:rFonts w:ascii="Times New Roman" w:hAnsi="Times New Roman" w:cs="Times New Roman"/>
          <w:b/>
          <w:bCs/>
          <w:sz w:val="24"/>
        </w:rPr>
        <w:t xml:space="preserve">3.4. Econometric Modeling </w:t>
      </w:r>
    </w:p>
    <w:p w:rsidR="005529F2" w:rsidRDefault="005529F2" w:rsidP="005529F2">
      <w:pPr>
        <w:spacing w:line="480" w:lineRule="auto"/>
        <w:ind w:firstLine="420"/>
        <w:jc w:val="left"/>
      </w:pPr>
      <w:r>
        <w:rPr>
          <w:rFonts w:ascii="Times New Roman" w:hAnsi="Times New Roman" w:cs="Times New Roman"/>
          <w:sz w:val="24"/>
        </w:rPr>
        <w:t>Ordinary linear regression (OLS) with interaction terms was adopted for my study. The regression I ran is as follows:</w:t>
      </w:r>
    </w:p>
    <w:p w:rsidR="005529F2" w:rsidRDefault="005529F2" w:rsidP="005529F2">
      <w:pPr>
        <w:spacing w:line="480" w:lineRule="auto"/>
        <w:ind w:firstLine="420"/>
        <w:jc w:val="left"/>
        <w:rPr>
          <w:rFonts w:ascii="Times New Roman" w:hAnsi="Times New Roman" w:cs="Times New Roman"/>
          <w:sz w:val="24"/>
        </w:rPr>
      </w:pPr>
      <w:r w:rsidRPr="00412AB1">
        <w:rPr>
          <w:rFonts w:ascii="Times New Roman" w:hAnsi="Times New Roman" w:cs="Times New Roman"/>
          <w:position w:val="-28"/>
          <w:sz w:val="24"/>
        </w:rPr>
        <w:object w:dxaOrig="8820" w:dyaOrig="680">
          <v:shape id="_x0000_i1029" type="#_x0000_t75" style="width:430.4pt;height:33pt" o:ole="">
            <v:imagedata r:id="rId17" o:title=""/>
          </v:shape>
          <o:OLEObject Type="Embed" ProgID="Equation.3" ShapeID="_x0000_i1029" DrawAspect="Content" ObjectID="_1564820074" r:id="rId18"/>
        </w:object>
      </w:r>
    </w:p>
    <w:p w:rsidR="005529F2" w:rsidRPr="005529F2" w:rsidRDefault="005529F2" w:rsidP="005529F2">
      <w:pPr>
        <w:spacing w:line="480" w:lineRule="auto"/>
        <w:ind w:firstLine="420"/>
        <w:jc w:val="left"/>
        <w:rPr>
          <w:rFonts w:ascii="Times New Roman" w:hAnsi="Times New Roman" w:cs="Times New Roman"/>
          <w:sz w:val="24"/>
        </w:rPr>
      </w:pPr>
    </w:p>
    <w:p w:rsidR="00535F04" w:rsidRDefault="0020353E">
      <w:pPr>
        <w:spacing w:line="480" w:lineRule="auto"/>
        <w:jc w:val="left"/>
        <w:rPr>
          <w:rFonts w:ascii="Times New Roman" w:hAnsi="Times New Roman" w:cs="Times New Roman"/>
          <w:b/>
          <w:sz w:val="24"/>
        </w:rPr>
      </w:pPr>
      <w:r>
        <w:rPr>
          <w:rFonts w:ascii="Times New Roman" w:hAnsi="Times New Roman" w:cs="Times New Roman"/>
          <w:b/>
          <w:sz w:val="24"/>
        </w:rPr>
        <w:t xml:space="preserve">Figure 5. Correlation Matrix. </w:t>
      </w:r>
    </w:p>
    <w:p w:rsidR="00535F04" w:rsidRDefault="0020353E">
      <w:pPr>
        <w:widowControl/>
        <w:spacing w:after="200" w:line="276" w:lineRule="auto"/>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Correlation Matrix</w:t>
      </w:r>
    </w:p>
    <w:tbl>
      <w:tblPr>
        <w:tblStyle w:val="TableGrid2"/>
        <w:tblW w:w="9818" w:type="dxa"/>
        <w:tblInd w:w="-162" w:type="dxa"/>
        <w:tblLayout w:type="fixed"/>
        <w:tblLook w:val="04A0" w:firstRow="1" w:lastRow="0" w:firstColumn="1" w:lastColumn="0" w:noHBand="0" w:noVBand="1"/>
      </w:tblPr>
      <w:tblGrid>
        <w:gridCol w:w="1584"/>
        <w:gridCol w:w="1169"/>
        <w:gridCol w:w="1560"/>
        <w:gridCol w:w="1410"/>
        <w:gridCol w:w="1395"/>
        <w:gridCol w:w="1350"/>
        <w:gridCol w:w="1350"/>
      </w:tblGrid>
      <w:tr w:rsidR="00535F04">
        <w:trPr>
          <w:trHeight w:val="506"/>
        </w:trPr>
        <w:tc>
          <w:tcPr>
            <w:tcW w:w="1584" w:type="dxa"/>
          </w:tcPr>
          <w:p w:rsidR="00535F04" w:rsidRDefault="00535F04">
            <w:pPr>
              <w:widowControl/>
              <w:jc w:val="center"/>
              <w:rPr>
                <w:rFonts w:ascii="Times New Roman" w:eastAsia="Calibri" w:hAnsi="Times New Roman" w:cs="Times New Roman"/>
                <w:kern w:val="0"/>
                <w:sz w:val="24"/>
                <w:lang w:eastAsia="en-US"/>
              </w:rPr>
            </w:pP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Power Distance      </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Individualism</w:t>
            </w:r>
          </w:p>
        </w:tc>
        <w:tc>
          <w:tcPr>
            <w:tcW w:w="141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Masculinity</w:t>
            </w:r>
          </w:p>
        </w:tc>
        <w:tc>
          <w:tcPr>
            <w:tcW w:w="1395"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Uncertainty Avoidance</w:t>
            </w:r>
          </w:p>
        </w:tc>
        <w:tc>
          <w:tcPr>
            <w:tcW w:w="135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Long-term Orientation</w:t>
            </w:r>
          </w:p>
        </w:tc>
        <w:tc>
          <w:tcPr>
            <w:tcW w:w="135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Indulgence</w:t>
            </w: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Power Distance</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c>
          <w:tcPr>
            <w:tcW w:w="1560" w:type="dxa"/>
          </w:tcPr>
          <w:p w:rsidR="00535F04" w:rsidRDefault="00535F04">
            <w:pPr>
              <w:widowControl/>
              <w:jc w:val="center"/>
              <w:rPr>
                <w:rFonts w:ascii="Times New Roman" w:eastAsia="Calibri" w:hAnsi="Times New Roman" w:cs="Times New Roman"/>
                <w:kern w:val="0"/>
                <w:sz w:val="24"/>
                <w:lang w:eastAsia="en-US"/>
              </w:rPr>
            </w:pPr>
          </w:p>
        </w:tc>
        <w:tc>
          <w:tcPr>
            <w:tcW w:w="1410" w:type="dxa"/>
          </w:tcPr>
          <w:p w:rsidR="00535F04" w:rsidRDefault="00535F04">
            <w:pPr>
              <w:widowControl/>
              <w:jc w:val="center"/>
              <w:rPr>
                <w:rFonts w:ascii="Times New Roman" w:eastAsia="Calibri" w:hAnsi="Times New Roman" w:cs="Times New Roman"/>
                <w:kern w:val="0"/>
                <w:sz w:val="24"/>
                <w:lang w:eastAsia="en-US"/>
              </w:rPr>
            </w:pPr>
          </w:p>
        </w:tc>
        <w:tc>
          <w:tcPr>
            <w:tcW w:w="1395"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Individualism</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-0.3110</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c>
          <w:tcPr>
            <w:tcW w:w="1410" w:type="dxa"/>
          </w:tcPr>
          <w:p w:rsidR="00535F04" w:rsidRDefault="00535F04">
            <w:pPr>
              <w:widowControl/>
              <w:jc w:val="center"/>
              <w:rPr>
                <w:rFonts w:ascii="Times New Roman" w:eastAsia="Calibri" w:hAnsi="Times New Roman" w:cs="Times New Roman"/>
                <w:kern w:val="0"/>
                <w:sz w:val="24"/>
                <w:lang w:eastAsia="en-US"/>
              </w:rPr>
            </w:pPr>
          </w:p>
        </w:tc>
        <w:tc>
          <w:tcPr>
            <w:tcW w:w="1395"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Masculinity</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-0.3520</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-0.0812</w:t>
            </w:r>
          </w:p>
        </w:tc>
        <w:tc>
          <w:tcPr>
            <w:tcW w:w="141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c>
          <w:tcPr>
            <w:tcW w:w="1395"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Uncertainty Avoidance</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0.5448</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-0.7591</w:t>
            </w:r>
          </w:p>
        </w:tc>
        <w:tc>
          <w:tcPr>
            <w:tcW w:w="141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-0.1078</w:t>
            </w:r>
          </w:p>
        </w:tc>
        <w:tc>
          <w:tcPr>
            <w:tcW w:w="1395"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c>
          <w:tcPr>
            <w:tcW w:w="1350" w:type="dxa"/>
          </w:tcPr>
          <w:p w:rsidR="00535F04" w:rsidRDefault="00535F04">
            <w:pPr>
              <w:widowControl/>
              <w:jc w:val="center"/>
              <w:rPr>
                <w:rFonts w:ascii="Times New Roman" w:eastAsia="Calibri" w:hAnsi="Times New Roman" w:cs="Times New Roman"/>
                <w:kern w:val="0"/>
                <w:sz w:val="24"/>
                <w:lang w:eastAsia="en-US"/>
              </w:rPr>
            </w:pPr>
          </w:p>
        </w:tc>
        <w:tc>
          <w:tcPr>
            <w:tcW w:w="1350" w:type="dxa"/>
          </w:tcPr>
          <w:p w:rsidR="00535F04" w:rsidRDefault="00535F04">
            <w:pPr>
              <w:widowControl/>
              <w:jc w:val="center"/>
              <w:rPr>
                <w:rFonts w:ascii="Times New Roman" w:eastAsia="Calibri" w:hAnsi="Times New Roman" w:cs="Times New Roman"/>
                <w:kern w:val="0"/>
                <w:sz w:val="24"/>
                <w:lang w:eastAsia="en-US"/>
              </w:rPr>
            </w:pP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Long-term Orientation</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-0.1549</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-0.3398</w:t>
            </w:r>
          </w:p>
        </w:tc>
        <w:tc>
          <w:tcPr>
            <w:tcW w:w="141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-0.1487</w:t>
            </w:r>
          </w:p>
        </w:tc>
        <w:tc>
          <w:tcPr>
            <w:tcW w:w="1395"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0.4527</w:t>
            </w:r>
          </w:p>
        </w:tc>
        <w:tc>
          <w:tcPr>
            <w:tcW w:w="135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c>
          <w:tcPr>
            <w:tcW w:w="1350" w:type="dxa"/>
          </w:tcPr>
          <w:p w:rsidR="00535F04" w:rsidRDefault="00535F04">
            <w:pPr>
              <w:widowControl/>
              <w:jc w:val="center"/>
              <w:rPr>
                <w:rFonts w:ascii="Times New Roman" w:eastAsia="Calibri" w:hAnsi="Times New Roman" w:cs="Times New Roman"/>
                <w:kern w:val="0"/>
                <w:sz w:val="24"/>
                <w:lang w:eastAsia="en-US"/>
              </w:rPr>
            </w:pPr>
          </w:p>
        </w:tc>
      </w:tr>
      <w:tr w:rsidR="00535F04">
        <w:trPr>
          <w:trHeight w:val="506"/>
        </w:trPr>
        <w:tc>
          <w:tcPr>
            <w:tcW w:w="1584"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Indulgence</w:t>
            </w:r>
          </w:p>
        </w:tc>
        <w:tc>
          <w:tcPr>
            <w:tcW w:w="1169"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-0.1481</w:t>
            </w:r>
          </w:p>
        </w:tc>
        <w:tc>
          <w:tcPr>
            <w:tcW w:w="156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0.4067</w:t>
            </w:r>
          </w:p>
        </w:tc>
        <w:tc>
          <w:tcPr>
            <w:tcW w:w="141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-0.1517</w:t>
            </w:r>
          </w:p>
        </w:tc>
        <w:tc>
          <w:tcPr>
            <w:tcW w:w="1395"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-0.5273</w:t>
            </w:r>
          </w:p>
        </w:tc>
        <w:tc>
          <w:tcPr>
            <w:tcW w:w="135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-0.7669</w:t>
            </w:r>
          </w:p>
        </w:tc>
        <w:tc>
          <w:tcPr>
            <w:tcW w:w="1350" w:type="dxa"/>
          </w:tcPr>
          <w:p w:rsidR="00535F04" w:rsidRDefault="0020353E">
            <w:pPr>
              <w:widowControl/>
              <w:jc w:val="center"/>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1.0000</w:t>
            </w:r>
          </w:p>
        </w:tc>
      </w:tr>
    </w:tbl>
    <w:p w:rsidR="005529F2" w:rsidRDefault="0020353E" w:rsidP="005529F2">
      <w:pPr>
        <w:spacing w:line="480" w:lineRule="auto"/>
        <w:ind w:firstLine="420"/>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INCLUDEPICTURE \d "https://lh5.googleusercontent.com/BsYGYfmSwL5LnlEHGADqymeuWday-DtepJXXXa9LRBq7HzyWgMj6D-TMdXtxjIqHSr0UcyMRlzZ6bHdzRtP8Q7ugdEpxKXC9jHMn-VZz6P960hQl8ONv9mTn3wfm4-sa5csXXVtMVVQ" \* MERGEFORMATINET </w:instrText>
      </w:r>
      <w:r>
        <w:rPr>
          <w:rFonts w:ascii="Times New Roman" w:hAnsi="Times New Roman" w:cs="Times New Roman"/>
          <w:sz w:val="24"/>
        </w:rPr>
        <w:fldChar w:fldCharType="end"/>
      </w:r>
    </w:p>
    <w:p w:rsidR="00535F04" w:rsidRPr="005529F2" w:rsidRDefault="0020353E" w:rsidP="005529F2">
      <w:pPr>
        <w:spacing w:line="480" w:lineRule="auto"/>
        <w:ind w:firstLine="420"/>
        <w:jc w:val="left"/>
        <w:rPr>
          <w:rFonts w:ascii="Times New Roman" w:hAnsi="Times New Roman" w:cs="Times New Roman"/>
          <w:sz w:val="24"/>
        </w:rPr>
      </w:pPr>
      <w:r>
        <w:rPr>
          <w:rFonts w:ascii="Times New Roman" w:hAnsi="Times New Roman" w:cs="Times New Roman"/>
          <w:sz w:val="24"/>
        </w:rPr>
        <w:t>Once again, the dependent variable safe choice is the percentage of safe choice (Option A) each individual made during the HL task, and a higher percentage of safe choices made indicates a higher level of risk aversion. Female is a dummy and it takes value 1 when an individual is a female, and 0 when an individual is a male. The coefficient β1</w:t>
      </w:r>
      <w:r>
        <w:rPr>
          <w:rFonts w:ascii="Arial" w:hAnsi="Arial" w:cs="Arial"/>
          <w:sz w:val="24"/>
        </w:rPr>
        <w:t xml:space="preserve"> </w:t>
      </w:r>
      <w:r>
        <w:rPr>
          <w:rFonts w:ascii="Times New Roman" w:hAnsi="Times New Roman" w:cs="Times New Roman"/>
          <w:sz w:val="24"/>
        </w:rPr>
        <w:t xml:space="preserve">indicates the effect of being female on risk aversion. The α coefficients represent the cultural influence that applies equally to both females and males. The </w:t>
      </w:r>
      <w:r>
        <w:rPr>
          <w:rFonts w:ascii="Times New Roman" w:eastAsia="SimSun" w:hAnsi="Times New Roman" w:cs="Times New Roman"/>
          <w:sz w:val="24"/>
        </w:rPr>
        <w:t xml:space="preserve">λ coefficients, which are the ones I am most interested in for my study, demonstrate how the </w:t>
      </w:r>
      <w:r w:rsidR="00A22319">
        <w:rPr>
          <w:rFonts w:ascii="Times New Roman" w:eastAsia="SimSun" w:hAnsi="Times New Roman" w:cs="Times New Roman"/>
          <w:sz w:val="24"/>
        </w:rPr>
        <w:t>cultural</w:t>
      </w:r>
      <w:r>
        <w:rPr>
          <w:rFonts w:ascii="Times New Roman" w:eastAsia="SimSun" w:hAnsi="Times New Roman" w:cs="Times New Roman"/>
          <w:sz w:val="24"/>
        </w:rPr>
        <w:t xml:space="preserve"> parameters affect female and male risk preferences differently. My control variables are GDP per capita </w:t>
      </w:r>
      <w:r w:rsidR="003A1B3C">
        <w:rPr>
          <w:rFonts w:ascii="Times New Roman" w:eastAsia="SimSun" w:hAnsi="Times New Roman" w:cs="Times New Roman"/>
          <w:sz w:val="24"/>
        </w:rPr>
        <w:t xml:space="preserve">(in thousand dollars) </w:t>
      </w:r>
      <w:r>
        <w:rPr>
          <w:rFonts w:ascii="Times New Roman" w:eastAsia="SimSun" w:hAnsi="Times New Roman" w:cs="Times New Roman"/>
          <w:sz w:val="24"/>
        </w:rPr>
        <w:t xml:space="preserve">and population growth rates from year 2010, which matches </w:t>
      </w:r>
      <w:r w:rsidR="00A22319">
        <w:rPr>
          <w:rFonts w:ascii="Times New Roman" w:eastAsia="SimSun" w:hAnsi="Times New Roman" w:cs="Times New Roman"/>
          <w:sz w:val="24"/>
        </w:rPr>
        <w:t>the year when Hofstede’s cultural</w:t>
      </w:r>
      <w:r>
        <w:rPr>
          <w:rFonts w:ascii="Times New Roman" w:eastAsia="SimSun" w:hAnsi="Times New Roman" w:cs="Times New Roman"/>
          <w:sz w:val="24"/>
        </w:rPr>
        <w:t xml:space="preserve"> values were last updated. </w:t>
      </w:r>
    </w:p>
    <w:p w:rsidR="00535F04" w:rsidRDefault="00535F04">
      <w:pPr>
        <w:spacing w:line="480" w:lineRule="auto"/>
        <w:ind w:firstLine="420"/>
        <w:jc w:val="left"/>
        <w:rPr>
          <w:rFonts w:ascii="Times New Roman" w:eastAsia="SimSun" w:hAnsi="Times New Roman" w:cs="Times New Roman"/>
          <w:sz w:val="24"/>
        </w:rPr>
      </w:pPr>
    </w:p>
    <w:p w:rsidR="00535F04" w:rsidRDefault="0020353E">
      <w:pPr>
        <w:spacing w:line="480" w:lineRule="auto"/>
        <w:ind w:firstLine="420"/>
        <w:jc w:val="center"/>
        <w:rPr>
          <w:rFonts w:ascii="Times New Roman" w:hAnsi="Times New Roman" w:cs="Times New Roman"/>
          <w:b/>
          <w:bCs/>
          <w:sz w:val="24"/>
        </w:rPr>
      </w:pPr>
      <w:r>
        <w:rPr>
          <w:rFonts w:ascii="Times New Roman" w:hAnsi="Times New Roman" w:cs="Times New Roman"/>
          <w:b/>
          <w:bCs/>
          <w:sz w:val="24"/>
        </w:rPr>
        <w:t>Section 4: Results</w:t>
      </w: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4.1 Regression Results</w:t>
      </w:r>
    </w:p>
    <w:p w:rsidR="009D1351" w:rsidRDefault="009D1351" w:rsidP="009D1351">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The regression results are shown in </w:t>
      </w:r>
      <w:r>
        <w:rPr>
          <w:rFonts w:ascii="Times New Roman" w:hAnsi="Times New Roman" w:cs="Times New Roman" w:hint="eastAsia"/>
          <w:sz w:val="24"/>
        </w:rPr>
        <w:t>Table 1</w:t>
      </w:r>
      <w:r>
        <w:rPr>
          <w:rFonts w:ascii="Times New Roman" w:hAnsi="Times New Roman" w:cs="Times New Roman"/>
          <w:sz w:val="24"/>
        </w:rPr>
        <w:t>. I ran five different models. Column 1 only includes female as the explanatory variable, while Column 2 includes female and 2 control variables (GDP per capita and population growth rates). The coefficient on female is around 0.023</w:t>
      </w:r>
      <w:r>
        <w:rPr>
          <w:rFonts w:ascii="Times New Roman" w:hAnsi="Times New Roman" w:cs="Times New Roman" w:hint="eastAsia"/>
          <w:sz w:val="24"/>
        </w:rPr>
        <w:t xml:space="preserve"> (p</w:t>
      </w:r>
      <w:r>
        <w:rPr>
          <w:rFonts w:ascii="Times New Roman" w:hAnsi="Times New Roman" w:cs="Times New Roman"/>
          <w:sz w:val="24"/>
        </w:rPr>
        <w:t xml:space="preserve"> </w:t>
      </w:r>
      <w:r>
        <w:rPr>
          <w:rFonts w:ascii="Times New Roman" w:hAnsi="Times New Roman" w:cs="Times New Roman" w:hint="eastAsia"/>
          <w:sz w:val="24"/>
        </w:rPr>
        <w:t>&lt; 0.001)</w:t>
      </w:r>
      <w:r>
        <w:rPr>
          <w:rFonts w:ascii="Times New Roman" w:hAnsi="Times New Roman" w:cs="Times New Roman"/>
          <w:sz w:val="24"/>
        </w:rPr>
        <w:t xml:space="preserve">, which is similar to what Filippin and Crosetto (2016) found in their sample, as well as what previous literature has found. </w:t>
      </w:r>
    </w:p>
    <w:p w:rsidR="00412AB1" w:rsidRPr="00412AB1" w:rsidRDefault="009D1351" w:rsidP="005529F2">
      <w:pPr>
        <w:spacing w:line="480" w:lineRule="auto"/>
        <w:ind w:firstLine="420"/>
        <w:jc w:val="left"/>
        <w:rPr>
          <w:rFonts w:ascii="Times New Roman" w:hAnsi="Times New Roman" w:cs="Times New Roman"/>
          <w:sz w:val="24"/>
        </w:rPr>
      </w:pPr>
      <w:r>
        <w:rPr>
          <w:rFonts w:ascii="Times New Roman" w:hAnsi="Times New Roman" w:cs="Times New Roman"/>
          <w:sz w:val="24"/>
        </w:rPr>
        <w:t>Next, in co</w:t>
      </w:r>
      <w:r w:rsidR="00A22319">
        <w:rPr>
          <w:rFonts w:ascii="Times New Roman" w:hAnsi="Times New Roman" w:cs="Times New Roman"/>
          <w:sz w:val="24"/>
        </w:rPr>
        <w:t>lumn 3, I added the four cultural</w:t>
      </w:r>
      <w:r>
        <w:rPr>
          <w:rFonts w:ascii="Times New Roman" w:hAnsi="Times New Roman" w:cs="Times New Roman"/>
          <w:sz w:val="24"/>
        </w:rPr>
        <w:t xml:space="preserve"> measures: power distance (PDI), individualism (IDV), masculinity (MAS), and indulgence (IND). The effect of PDI was not statistically significant, while the other three dimensions all showed </w:t>
      </w:r>
      <w:r w:rsidR="003133F3">
        <w:rPr>
          <w:rFonts w:ascii="Times New Roman" w:hAnsi="Times New Roman" w:cs="Times New Roman"/>
          <w:sz w:val="24"/>
        </w:rPr>
        <w:t>significant</w:t>
      </w:r>
      <w:r>
        <w:rPr>
          <w:rFonts w:ascii="Times New Roman" w:hAnsi="Times New Roman" w:cs="Times New Roman"/>
          <w:sz w:val="24"/>
        </w:rPr>
        <w:t xml:space="preserve"> effects on risk aversion levels. First, a higher level of individualism is associated with a higher level of risk aversion (α2 = 0.170, p &lt; 0.001). This is consistent with Hsee and Weber’s Cushion Hypothesis (1999). Using subjects from China and the US, they </w:t>
      </w:r>
      <w:r w:rsidR="003133F3">
        <w:rPr>
          <w:rFonts w:ascii="Times New Roman" w:hAnsi="Times New Roman" w:cs="Times New Roman"/>
          <w:sz w:val="24"/>
        </w:rPr>
        <w:t>found that Chinese students are</w:t>
      </w:r>
      <w:r>
        <w:rPr>
          <w:rFonts w:ascii="Times New Roman" w:hAnsi="Times New Roman" w:cs="Times New Roman"/>
          <w:sz w:val="24"/>
        </w:rPr>
        <w:t xml:space="preserve"> in fact more risk see</w:t>
      </w:r>
      <w:r w:rsidR="003133F3">
        <w:rPr>
          <w:rFonts w:ascii="Times New Roman" w:hAnsi="Times New Roman" w:cs="Times New Roman"/>
          <w:sz w:val="24"/>
        </w:rPr>
        <w:t>king than American students are, which is</w:t>
      </w:r>
      <w:r>
        <w:rPr>
          <w:rFonts w:ascii="Times New Roman" w:hAnsi="Times New Roman" w:cs="Times New Roman"/>
          <w:sz w:val="24"/>
        </w:rPr>
        <w:t xml:space="preserve"> contradicted to the cultural stereotype many pe</w:t>
      </w:r>
      <w:r w:rsidR="003133F3">
        <w:rPr>
          <w:rFonts w:ascii="Times New Roman" w:hAnsi="Times New Roman" w:cs="Times New Roman"/>
          <w:sz w:val="24"/>
        </w:rPr>
        <w:t>ople hold. Their explanation is</w:t>
      </w:r>
      <w:r>
        <w:rPr>
          <w:rFonts w:ascii="Times New Roman" w:hAnsi="Times New Roman" w:cs="Times New Roman"/>
          <w:sz w:val="24"/>
        </w:rPr>
        <w:t xml:space="preserve"> the Cushion Hypothesis and it has been confirmed by many studies later on (Tan, 2011; Schneider et al., 2014). The collective culture and larger network Easterners share give them a feeling of security and back-up, and therefore make them more comfortable with </w:t>
      </w:r>
      <w:r w:rsidR="00412AB1" w:rsidRPr="009D1351">
        <w:rPr>
          <w:rFonts w:ascii="Times New Roman" w:hAnsi="Times New Roman" w:cs="Times New Roman"/>
          <w:sz w:val="24"/>
        </w:rPr>
        <w:t>taking on risks than Westerners are. Therefore, when individualism increases, which means that</w:t>
      </w:r>
      <w:r w:rsidR="00771FAB">
        <w:rPr>
          <w:rFonts w:ascii="Times New Roman" w:hAnsi="Times New Roman" w:cs="Times New Roman"/>
          <w:sz w:val="24"/>
        </w:rPr>
        <w:t xml:space="preserve"> </w:t>
      </w:r>
      <w:r w:rsidR="00771FAB" w:rsidRPr="009D1351">
        <w:rPr>
          <w:rFonts w:ascii="Times New Roman" w:hAnsi="Times New Roman" w:cs="Times New Roman"/>
          <w:sz w:val="24"/>
        </w:rPr>
        <w:t xml:space="preserve">people tend to have looser ties with others, risk aversion levels increase as well. </w:t>
      </w:r>
    </w:p>
    <w:p w:rsidR="00412AB1" w:rsidRDefault="00412AB1">
      <w:pPr>
        <w:spacing w:line="480" w:lineRule="auto"/>
        <w:jc w:val="left"/>
        <w:rPr>
          <w:rFonts w:ascii="Times New Roman" w:hAnsi="Times New Roman" w:cs="Times New Roman"/>
          <w:b/>
          <w:sz w:val="24"/>
        </w:rPr>
      </w:pPr>
    </w:p>
    <w:p w:rsidR="00535F04" w:rsidRDefault="0020353E">
      <w:pPr>
        <w:spacing w:line="480" w:lineRule="auto"/>
        <w:jc w:val="left"/>
        <w:rPr>
          <w:rFonts w:ascii="Times New Roman" w:hAnsi="Times New Roman" w:cs="Times New Roman"/>
          <w:b/>
          <w:sz w:val="24"/>
        </w:rPr>
      </w:pPr>
      <w:r>
        <w:rPr>
          <w:rFonts w:ascii="Times New Roman" w:hAnsi="Times New Roman" w:cs="Times New Roman"/>
          <w:b/>
          <w:sz w:val="24"/>
        </w:rPr>
        <w:t>Table 1. Regression Results</w:t>
      </w:r>
    </w:p>
    <w:p w:rsidR="00535F04" w:rsidRDefault="0020353E">
      <w:pPr>
        <w:spacing w:line="480" w:lineRule="auto"/>
        <w:jc w:val="left"/>
        <w:rPr>
          <w:rFonts w:ascii="Times New Roman" w:hAnsi="Times New Roman" w:cs="Times New Roman"/>
          <w:sz w:val="24"/>
        </w:rPr>
      </w:pPr>
      <w:r>
        <w:rPr>
          <w:rFonts w:ascii="Times New Roman" w:hAnsi="Times New Roman" w:cs="Times New Roman"/>
          <w:sz w:val="24"/>
        </w:rPr>
        <w:t>Dependent Variable: Safechoice (Mean = 0.579, Std Dev = 0.179)</w:t>
      </w:r>
    </w:p>
    <w:tbl>
      <w:tblPr>
        <w:tblW w:w="10155" w:type="dxa"/>
        <w:jc w:val="center"/>
        <w:tblLayout w:type="fixed"/>
        <w:tblCellMar>
          <w:left w:w="75" w:type="dxa"/>
          <w:right w:w="75" w:type="dxa"/>
        </w:tblCellMar>
        <w:tblLook w:val="0000" w:firstRow="0" w:lastRow="0" w:firstColumn="0" w:lastColumn="0" w:noHBand="0" w:noVBand="0"/>
      </w:tblPr>
      <w:tblGrid>
        <w:gridCol w:w="1947"/>
        <w:gridCol w:w="1440"/>
        <w:gridCol w:w="1584"/>
        <w:gridCol w:w="1728"/>
        <w:gridCol w:w="1728"/>
        <w:gridCol w:w="1728"/>
      </w:tblGrid>
      <w:tr w:rsidR="005F2552" w:rsidTr="00AA46D2">
        <w:trPr>
          <w:jc w:val="center"/>
        </w:trPr>
        <w:tc>
          <w:tcPr>
            <w:tcW w:w="1947"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VARIABLES</w:t>
            </w:r>
          </w:p>
        </w:tc>
        <w:tc>
          <w:tcPr>
            <w:tcW w:w="1440"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584"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728"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728"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1728" w:type="dxa"/>
            <w:tcBorders>
              <w:top w:val="single" w:sz="6" w:space="0" w:color="auto"/>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Female</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0.0231***</w:t>
            </w: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0.0220***</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0.0236***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0.000676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0.00332</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(0.00445)</w:t>
            </w: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(0.00453)</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(0.00376)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(0.0181)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(0.00382)</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PDI</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-0.0522</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-0.0419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-0.0494</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(0.0503)</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(0.0504)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(0.0503)</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IDV</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0.170***</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0.171***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0.169***</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(0.0231)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(0.0333)</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(0.0226)</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MAS</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-0.0416**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-0.0547**</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-0.0555**</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(0.0177)</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(0.0182)</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(0.0180)</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IND</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0.176*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0.171*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0.176*</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(0.0819)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(0.0786)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(0.0817)</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Female*PDI</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-0.0123</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(0.0216)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Female*IDV</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-0.00246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(0.0429)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Female*MAS</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0.0344**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0.0360***</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(0.0138)</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(0.00919)</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Female*IND</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0.0189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(0.0416)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GDP</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-0.000235</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-0.00424***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-0.00421***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-0.00420***</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(0.000505)</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(0.000724)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(0.000798)</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(0.000717)</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Population </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-0.0141**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-0.0788**</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-0.0798**</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-0.0784**</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Growth Rate</w:t>
            </w:r>
          </w:p>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(0.00551)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(0.0276)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(0.0276)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(0.0275)</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Constant</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0.568***</w:t>
            </w: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0.585***</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0.606***</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0.611***</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0.612***</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(0.00582)</w:t>
            </w: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(0.0214)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(0.0834)</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(0.0819)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(0.0832)</w:t>
            </w: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p>
        </w:tc>
      </w:tr>
      <w:tr w:rsidR="005F2552" w:rsidTr="00AA46D2">
        <w:trPr>
          <w:jc w:val="center"/>
        </w:trPr>
        <w:tc>
          <w:tcPr>
            <w:tcW w:w="1947" w:type="dxa"/>
            <w:tcBorders>
              <w:top w:val="nil"/>
              <w:left w:val="nil"/>
              <w:bottom w:val="nil"/>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Observations</w:t>
            </w:r>
          </w:p>
        </w:tc>
        <w:tc>
          <w:tcPr>
            <w:tcW w:w="1440"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4,179</w:t>
            </w:r>
          </w:p>
        </w:tc>
        <w:tc>
          <w:tcPr>
            <w:tcW w:w="1584"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4,179</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4,152</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4,152</w:t>
            </w:r>
          </w:p>
        </w:tc>
        <w:tc>
          <w:tcPr>
            <w:tcW w:w="1728" w:type="dxa"/>
            <w:tcBorders>
              <w:top w:val="nil"/>
              <w:left w:val="nil"/>
              <w:bottom w:val="nil"/>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4,152</w:t>
            </w:r>
          </w:p>
        </w:tc>
      </w:tr>
      <w:tr w:rsidR="005F2552" w:rsidTr="00AA46D2">
        <w:tblPrEx>
          <w:tblBorders>
            <w:bottom w:val="single" w:sz="6" w:space="0" w:color="auto"/>
          </w:tblBorders>
        </w:tblPrEx>
        <w:trPr>
          <w:jc w:val="center"/>
        </w:trPr>
        <w:tc>
          <w:tcPr>
            <w:tcW w:w="1947"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R-squared</w:t>
            </w:r>
          </w:p>
        </w:tc>
        <w:tc>
          <w:tcPr>
            <w:tcW w:w="1440"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0.004</w:t>
            </w:r>
          </w:p>
        </w:tc>
        <w:tc>
          <w:tcPr>
            <w:tcW w:w="1584"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0.005</w:t>
            </w:r>
          </w:p>
        </w:tc>
        <w:tc>
          <w:tcPr>
            <w:tcW w:w="1728"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0.009</w:t>
            </w:r>
          </w:p>
        </w:tc>
        <w:tc>
          <w:tcPr>
            <w:tcW w:w="1728"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0.010</w:t>
            </w:r>
          </w:p>
        </w:tc>
        <w:tc>
          <w:tcPr>
            <w:tcW w:w="1728" w:type="dxa"/>
            <w:tcBorders>
              <w:top w:val="nil"/>
              <w:left w:val="nil"/>
              <w:bottom w:val="single" w:sz="6" w:space="0" w:color="auto"/>
              <w:right w:val="nil"/>
            </w:tcBorders>
          </w:tcPr>
          <w:p w:rsidR="005F2552" w:rsidRDefault="005F2552" w:rsidP="00AA46D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0.010</w:t>
            </w:r>
          </w:p>
        </w:tc>
      </w:tr>
    </w:tbl>
    <w:p w:rsidR="005F2552" w:rsidRDefault="005F2552" w:rsidP="005F255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Robust standard errors in parentheses</w:t>
      </w:r>
    </w:p>
    <w:p w:rsidR="005F2552" w:rsidRDefault="005F2552" w:rsidP="005F255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 p&lt;0.01, ** p&lt;0.05, * p&lt;0.1</w:t>
      </w:r>
    </w:p>
    <w:p w:rsidR="00535F04" w:rsidRDefault="00535F04">
      <w:pPr>
        <w:spacing w:line="480" w:lineRule="auto"/>
        <w:jc w:val="left"/>
        <w:rPr>
          <w:rFonts w:ascii="Times New Roman" w:hAnsi="Times New Roman" w:cs="Times New Roman"/>
          <w:b/>
          <w:bCs/>
          <w:sz w:val="24"/>
        </w:rPr>
      </w:pPr>
    </w:p>
    <w:p w:rsidR="00535F04" w:rsidRDefault="00535F04">
      <w:pPr>
        <w:spacing w:line="480" w:lineRule="auto"/>
        <w:ind w:firstLine="420"/>
        <w:jc w:val="left"/>
        <w:rPr>
          <w:rFonts w:ascii="Times New Roman" w:hAnsi="Times New Roman" w:cs="Times New Roman"/>
          <w:sz w:val="24"/>
        </w:rPr>
      </w:pPr>
    </w:p>
    <w:p w:rsidR="00560D81" w:rsidRDefault="00560D81">
      <w:pPr>
        <w:spacing w:line="480" w:lineRule="auto"/>
        <w:ind w:firstLine="420"/>
        <w:jc w:val="left"/>
        <w:rPr>
          <w:rFonts w:ascii="Times New Roman" w:hAnsi="Times New Roman" w:cs="Times New Roman"/>
          <w:sz w:val="24"/>
        </w:rPr>
      </w:pPr>
      <w:r w:rsidRPr="00560D81">
        <w:rPr>
          <w:rFonts w:ascii="Times New Roman" w:hAnsi="Times New Roman" w:cs="Times New Roman"/>
          <w:sz w:val="24"/>
        </w:rPr>
        <w:t>Moreover, masculinity is associated with a lower level of risk aversion (α3 = -0.0416, p = 0.044). This result is not surprising. A masculine society places emphasis on competitiveness and achievements. This mentality is likely to encourage people to be ambitious and confident, which can lead to a higher level of risk-taking behaviors in the society. So far, no studies have exami</w:t>
      </w:r>
      <w:r w:rsidR="00A22319">
        <w:rPr>
          <w:rFonts w:ascii="Times New Roman" w:hAnsi="Times New Roman" w:cs="Times New Roman"/>
          <w:sz w:val="24"/>
        </w:rPr>
        <w:t>ned how masculinity as a cultural</w:t>
      </w:r>
      <w:r w:rsidRPr="00560D81">
        <w:rPr>
          <w:rFonts w:ascii="Times New Roman" w:hAnsi="Times New Roman" w:cs="Times New Roman"/>
          <w:sz w:val="24"/>
        </w:rPr>
        <w:t xml:space="preserve"> element influences individual risk taking behavior. However, a study by D’Acunto (2014) showed that people were less risk averse when they were given cues to focus on their masculine identity. Subjects read a text about masculinity, and then wer</w:t>
      </w:r>
      <w:r w:rsidR="00412AB1">
        <w:rPr>
          <w:rFonts w:ascii="Times New Roman" w:hAnsi="Times New Roman" w:cs="Times New Roman"/>
          <w:sz w:val="24"/>
        </w:rPr>
        <w:t>e asked to recall an event when</w:t>
      </w:r>
      <w:r w:rsidRPr="00560D81">
        <w:rPr>
          <w:rFonts w:ascii="Times New Roman" w:hAnsi="Times New Roman" w:cs="Times New Roman"/>
          <w:sz w:val="24"/>
        </w:rPr>
        <w:t xml:space="preserve"> they behaved in a masculine way. Results showed that individuals in the experiment condition displayed a higher level of risk tolerance after they got the “masculinity priming.” Hence, people in a more masculine society are expected to display a lower level of risk aversion.</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Additionally, indulgence also has a statistically significant and positive effect on risk aversion (α4 = 0.</w:t>
      </w:r>
      <w:r w:rsidR="005F2552">
        <w:rPr>
          <w:rFonts w:ascii="Times New Roman" w:hAnsi="Times New Roman" w:cs="Times New Roman"/>
          <w:sz w:val="24"/>
        </w:rPr>
        <w:t>176</w:t>
      </w:r>
      <w:r>
        <w:rPr>
          <w:rFonts w:ascii="Times New Roman" w:hAnsi="Times New Roman" w:cs="Times New Roman"/>
          <w:sz w:val="24"/>
        </w:rPr>
        <w:t>, p = 0.0</w:t>
      </w:r>
      <w:r w:rsidR="00117959">
        <w:rPr>
          <w:rFonts w:ascii="Times New Roman" w:hAnsi="Times New Roman" w:cs="Times New Roman"/>
          <w:sz w:val="24"/>
        </w:rPr>
        <w:t>60</w:t>
      </w:r>
      <w:r>
        <w:rPr>
          <w:rFonts w:ascii="Times New Roman" w:hAnsi="Times New Roman" w:cs="Times New Roman"/>
          <w:sz w:val="24"/>
        </w:rPr>
        <w:t xml:space="preserve">). There has not been any study done on the relationship between indulgence culture and risk-taking behavior, especially given that this dimension was not added into Hofstede’s framework until 2010. One possible explanation, however, is that individuals in a society with high indulgence tend to enjoy the moment and are satisfied with their basic needs (Christiansen, Yildiz and Yildiz, 2014). Also, they are not easily motivated by material possessions or status, which </w:t>
      </w:r>
      <w:r w:rsidR="005529F2">
        <w:rPr>
          <w:rFonts w:ascii="Times New Roman" w:hAnsi="Times New Roman" w:cs="Times New Roman"/>
          <w:sz w:val="24"/>
        </w:rPr>
        <w:t>could</w:t>
      </w:r>
      <w:r>
        <w:rPr>
          <w:rFonts w:ascii="Times New Roman" w:hAnsi="Times New Roman" w:cs="Times New Roman"/>
          <w:sz w:val="24"/>
        </w:rPr>
        <w:t xml:space="preserve"> explain why they are less likely to get involved in risk-taking.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In Column 4, I included the four interaction term</w:t>
      </w:r>
      <w:r w:rsidR="00A22319">
        <w:rPr>
          <w:rFonts w:ascii="Times New Roman" w:hAnsi="Times New Roman" w:cs="Times New Roman"/>
          <w:sz w:val="24"/>
        </w:rPr>
        <w:t>s between the female and cultural</w:t>
      </w:r>
      <w:r>
        <w:rPr>
          <w:rFonts w:ascii="Times New Roman" w:hAnsi="Times New Roman" w:cs="Times New Roman"/>
          <w:sz w:val="24"/>
        </w:rPr>
        <w:t xml:space="preserve"> variables, and the only significant coefficient is the interaction between female and masculinity (λ3 = 0.03</w:t>
      </w:r>
      <w:r w:rsidR="005F2552">
        <w:rPr>
          <w:rFonts w:ascii="Times New Roman" w:hAnsi="Times New Roman" w:cs="Times New Roman"/>
          <w:sz w:val="24"/>
        </w:rPr>
        <w:t>44</w:t>
      </w:r>
      <w:r>
        <w:rPr>
          <w:rFonts w:ascii="Times New Roman" w:hAnsi="Times New Roman" w:cs="Times New Roman"/>
          <w:sz w:val="24"/>
        </w:rPr>
        <w:t>, p = 0.0</w:t>
      </w:r>
      <w:r w:rsidR="00117959">
        <w:rPr>
          <w:rFonts w:ascii="Times New Roman" w:hAnsi="Times New Roman" w:cs="Times New Roman"/>
          <w:sz w:val="24"/>
        </w:rPr>
        <w:t>34</w:t>
      </w:r>
      <w:r>
        <w:rPr>
          <w:rFonts w:ascii="Times New Roman" w:hAnsi="Times New Roman" w:cs="Times New Roman"/>
          <w:sz w:val="24"/>
        </w:rPr>
        <w:t>). This is expected since</w:t>
      </w:r>
      <w:r w:rsidR="00A22319">
        <w:rPr>
          <w:rFonts w:ascii="Times New Roman" w:hAnsi="Times New Roman" w:cs="Times New Roman"/>
          <w:sz w:val="24"/>
        </w:rPr>
        <w:t xml:space="preserve"> masculinity is the only cultural</w:t>
      </w:r>
      <w:r>
        <w:rPr>
          <w:rFonts w:ascii="Times New Roman" w:hAnsi="Times New Roman" w:cs="Times New Roman"/>
          <w:sz w:val="24"/>
        </w:rPr>
        <w:t xml:space="preserve"> index related to the gender dynamic in a society, and therefore, it has a different impact on females and males. To illustrate how to interpret the coefficients, I will use the Netherlands and Austria as two examples. </w:t>
      </w:r>
      <w:r w:rsidR="00412AB1">
        <w:rPr>
          <w:rFonts w:ascii="Times New Roman" w:hAnsi="Times New Roman" w:cs="Times New Roman"/>
          <w:sz w:val="24"/>
        </w:rPr>
        <w:t xml:space="preserve">The </w:t>
      </w:r>
      <w:r>
        <w:rPr>
          <w:rFonts w:ascii="Times New Roman" w:hAnsi="Times New Roman" w:cs="Times New Roman"/>
          <w:sz w:val="24"/>
        </w:rPr>
        <w:t>Netherlands is the country with the lowest masculinity score in my sample (MAS = 0.14). Multiplying the MAS score b</w:t>
      </w:r>
      <w:r w:rsidR="00080AED">
        <w:rPr>
          <w:rFonts w:ascii="Times New Roman" w:hAnsi="Times New Roman" w:cs="Times New Roman"/>
          <w:sz w:val="24"/>
        </w:rPr>
        <w:t>y the coefficient gives us 0.0048</w:t>
      </w:r>
      <w:r>
        <w:rPr>
          <w:rFonts w:ascii="Times New Roman" w:hAnsi="Times New Roman" w:cs="Times New Roman"/>
          <w:sz w:val="24"/>
        </w:rPr>
        <w:t>, which implies that the gender gap in risk in the Netherlands is quite small. On the other hand, Austria is the country with the highest level of masculinity in my data set (MAS = 0.79). Multiplying the MAS score b</w:t>
      </w:r>
      <w:r w:rsidR="00080AED">
        <w:rPr>
          <w:rFonts w:ascii="Times New Roman" w:hAnsi="Times New Roman" w:cs="Times New Roman"/>
          <w:sz w:val="24"/>
        </w:rPr>
        <w:t>y the coefficient gives us 0.0272</w:t>
      </w:r>
      <w:r>
        <w:rPr>
          <w:rFonts w:ascii="Times New Roman" w:hAnsi="Times New Roman" w:cs="Times New Roman"/>
          <w:sz w:val="24"/>
        </w:rPr>
        <w:t xml:space="preserve">, which is even bigger than the coefficient of female in columns 1 and 2. More importantly, it is worth noting that the coefficient on female is not significant anymore, which suggests that masculinity has taken on the explanatory power for the observed gender differences in risk attitudes. In Column 5, I excluded the other three interaction terms, and the results </w:t>
      </w:r>
      <w:r w:rsidR="00412AB1">
        <w:rPr>
          <w:rFonts w:ascii="Times New Roman" w:hAnsi="Times New Roman" w:cs="Times New Roman"/>
          <w:sz w:val="24"/>
        </w:rPr>
        <w:t>did not change</w:t>
      </w:r>
      <w:r>
        <w:rPr>
          <w:rFonts w:ascii="Times New Roman" w:hAnsi="Times New Roman" w:cs="Times New Roman"/>
          <w:sz w:val="24"/>
        </w:rPr>
        <w:t>. In fact, the coefficient on the interaction between female and masculinity is even more significant (λ3 = 0.036</w:t>
      </w:r>
      <w:r w:rsidR="005F2552">
        <w:rPr>
          <w:rFonts w:ascii="Times New Roman" w:hAnsi="Times New Roman" w:cs="Times New Roman"/>
          <w:sz w:val="24"/>
        </w:rPr>
        <w:t>0</w:t>
      </w:r>
      <w:r>
        <w:rPr>
          <w:rFonts w:ascii="Times New Roman" w:hAnsi="Times New Roman" w:cs="Times New Roman"/>
          <w:sz w:val="24"/>
        </w:rPr>
        <w:t>, p = 0.00</w:t>
      </w:r>
      <w:r w:rsidR="00117959">
        <w:rPr>
          <w:rFonts w:ascii="Times New Roman" w:hAnsi="Times New Roman" w:cs="Times New Roman"/>
          <w:sz w:val="24"/>
        </w:rPr>
        <w:t>4</w:t>
      </w:r>
      <w:r>
        <w:rPr>
          <w:rFonts w:ascii="Times New Roman" w:hAnsi="Times New Roman" w:cs="Times New Roman"/>
          <w:sz w:val="24"/>
        </w:rPr>
        <w:t xml:space="preserve">). </w:t>
      </w:r>
    </w:p>
    <w:p w:rsidR="00535F04" w:rsidRDefault="0020353E">
      <w:pPr>
        <w:spacing w:line="480" w:lineRule="auto"/>
        <w:jc w:val="left"/>
        <w:rPr>
          <w:rFonts w:ascii="Times New Roman" w:hAnsi="Times New Roman" w:cs="Times New Roman"/>
          <w:b/>
          <w:bCs/>
          <w:sz w:val="24"/>
        </w:rPr>
      </w:pPr>
      <w:r>
        <w:rPr>
          <w:rFonts w:ascii="Times New Roman" w:hAnsi="Times New Roman" w:cs="Times New Roman"/>
          <w:b/>
          <w:bCs/>
          <w:sz w:val="24"/>
        </w:rPr>
        <w:t>4.2 Robustness Check</w:t>
      </w:r>
    </w:p>
    <w:p w:rsidR="00535F04" w:rsidRDefault="0020353E">
      <w:pPr>
        <w:spacing w:line="480" w:lineRule="auto"/>
        <w:ind w:firstLine="420"/>
        <w:jc w:val="left"/>
        <w:rPr>
          <w:rFonts w:ascii="Times New Roman" w:eastAsia="SimSun" w:hAnsi="Times New Roman" w:cs="Times New Roman"/>
          <w:sz w:val="24"/>
        </w:rPr>
      </w:pPr>
      <w:r>
        <w:rPr>
          <w:rFonts w:ascii="Times New Roman" w:hAnsi="Times New Roman" w:cs="Times New Roman"/>
          <w:sz w:val="24"/>
        </w:rPr>
        <w:t xml:space="preserve">To control for other unobserved factors in a country, such as political stability, that might influence the gender disparity in risk attitudes, I also ran a country fixed-effect model. </w:t>
      </w:r>
      <w:r>
        <w:rPr>
          <w:rFonts w:ascii="Times New Roman" w:eastAsia="SimSun" w:hAnsi="Times New Roman" w:cs="Times New Roman"/>
          <w:sz w:val="24"/>
        </w:rPr>
        <w:t>The regression is of the following form:</w:t>
      </w:r>
    </w:p>
    <w:p w:rsidR="00535F04" w:rsidRDefault="00771FAB">
      <w:pPr>
        <w:spacing w:line="480" w:lineRule="auto"/>
        <w:ind w:firstLine="420"/>
        <w:jc w:val="left"/>
        <w:rPr>
          <w:rFonts w:ascii="Times New Roman" w:eastAsia="SimSun" w:hAnsi="Times New Roman" w:cs="Times New Roman"/>
          <w:sz w:val="24"/>
        </w:rPr>
      </w:pPr>
      <w:r w:rsidRPr="00412AB1">
        <w:rPr>
          <w:rFonts w:ascii="Times New Roman" w:eastAsia="SimSun" w:hAnsi="Times New Roman" w:cs="Times New Roman"/>
          <w:position w:val="-10"/>
          <w:sz w:val="24"/>
        </w:rPr>
        <w:object w:dxaOrig="6480" w:dyaOrig="320">
          <v:shape id="_x0000_i1030" type="#_x0000_t75" alt="" style="width:293.2pt;height:14.25pt" o:ole="">
            <v:imagedata r:id="rId19" o:title=""/>
          </v:shape>
          <o:OLEObject Type="Embed" ProgID="Equation.3" ShapeID="_x0000_i1030" DrawAspect="Content" ObjectID="_1564820075" r:id="rId20"/>
        </w:object>
      </w:r>
    </w:p>
    <w:p w:rsidR="00535F04" w:rsidRPr="00F5215C" w:rsidRDefault="0020353E">
      <w:pPr>
        <w:spacing w:line="480" w:lineRule="auto"/>
        <w:jc w:val="left"/>
        <w:rPr>
          <w:rFonts w:ascii="Times New Roman" w:eastAsia="SimSun" w:hAnsi="Times New Roman" w:cs="Times New Roman"/>
          <w:sz w:val="24"/>
        </w:rPr>
      </w:pPr>
      <w:r>
        <w:rPr>
          <w:rFonts w:ascii="Times New Roman" w:eastAsia="SimSun" w:hAnsi="Times New Roman" w:cs="Times New Roman"/>
          <w:sz w:val="24"/>
        </w:rPr>
        <w:t>Column 1 in Table 2 shows the results from the fixed-effect re</w:t>
      </w:r>
      <w:r w:rsidR="003A1108">
        <w:rPr>
          <w:rFonts w:ascii="Times New Roman" w:eastAsia="SimSun" w:hAnsi="Times New Roman" w:cs="Times New Roman"/>
          <w:sz w:val="24"/>
        </w:rPr>
        <w:t>gression</w:t>
      </w:r>
      <w:r>
        <w:rPr>
          <w:rFonts w:ascii="Times New Roman" w:eastAsia="SimSun" w:hAnsi="Times New Roman" w:cs="Times New Roman"/>
          <w:sz w:val="24"/>
        </w:rPr>
        <w:t xml:space="preserve">. The coefficient between female and masculinity is even more significant and larger (λ= 0.042, p &lt; 0.001), which means that the effect size of masculinity on the gender gap in risk is bigger. </w:t>
      </w:r>
    </w:p>
    <w:p w:rsidR="00535F04" w:rsidRDefault="0020353E">
      <w:pPr>
        <w:spacing w:line="480" w:lineRule="auto"/>
        <w:ind w:firstLine="420"/>
        <w:jc w:val="left"/>
        <w:rPr>
          <w:rFonts w:ascii="Times New Roman" w:eastAsia="SimSun" w:hAnsi="Times New Roman" w:cs="Times New Roman"/>
          <w:sz w:val="24"/>
        </w:rPr>
      </w:pPr>
      <w:r>
        <w:rPr>
          <w:rFonts w:ascii="Times New Roman" w:eastAsia="SimSun" w:hAnsi="Times New Roman" w:cs="Times New Roman"/>
          <w:sz w:val="24"/>
        </w:rPr>
        <w:t xml:space="preserve">In addition, since the US and Germany samples are much larger compared to samples from other countries, I also ran the country fixed-effect without these two samples to make sure the </w:t>
      </w:r>
      <w:r w:rsidR="00771FAB">
        <w:rPr>
          <w:rFonts w:ascii="Times New Roman" w:eastAsia="SimSun" w:hAnsi="Times New Roman" w:cs="Times New Roman"/>
          <w:sz w:val="24"/>
        </w:rPr>
        <w:t>cultural impacts</w:t>
      </w:r>
      <w:r>
        <w:rPr>
          <w:rFonts w:ascii="Times New Roman" w:eastAsia="SimSun" w:hAnsi="Times New Roman" w:cs="Times New Roman"/>
          <w:sz w:val="24"/>
        </w:rPr>
        <w:t xml:space="preserve"> are not </w:t>
      </w:r>
      <w:r w:rsidR="00771FAB">
        <w:rPr>
          <w:rFonts w:ascii="Times New Roman" w:eastAsia="SimSun" w:hAnsi="Times New Roman" w:cs="Times New Roman"/>
          <w:sz w:val="24"/>
        </w:rPr>
        <w:t>driven by</w:t>
      </w:r>
      <w:r>
        <w:rPr>
          <w:rFonts w:ascii="Times New Roman" w:eastAsia="SimSun" w:hAnsi="Times New Roman" w:cs="Times New Roman"/>
          <w:sz w:val="24"/>
        </w:rPr>
        <w:t xml:space="preserve"> these two countries alone. The results are displayed in the second and third columns in Table 2 respectively, and they are basically the same as the model including the entire sample. Hence, the observed effect of masculinity on the gender disparity in risk is not due to sample selection. These two robustness checks give us confidence that masculinity </w:t>
      </w:r>
      <w:r w:rsidR="003A1108">
        <w:rPr>
          <w:rFonts w:ascii="Times New Roman" w:eastAsia="SimSun" w:hAnsi="Times New Roman" w:cs="Times New Roman"/>
          <w:sz w:val="24"/>
        </w:rPr>
        <w:t>level in a country help explain the gender gap in risk attitudes.</w:t>
      </w:r>
    </w:p>
    <w:p w:rsidR="00F5215C" w:rsidRDefault="00F5215C">
      <w:pPr>
        <w:spacing w:line="480" w:lineRule="auto"/>
        <w:ind w:firstLine="420"/>
        <w:jc w:val="left"/>
        <w:rPr>
          <w:rFonts w:ascii="Times New Roman" w:eastAsia="SimSun" w:hAnsi="Times New Roman" w:cs="Times New Roman"/>
          <w:sz w:val="24"/>
        </w:rPr>
      </w:pPr>
    </w:p>
    <w:p w:rsidR="00F5215C" w:rsidRDefault="00F5215C" w:rsidP="00F5215C">
      <w:pPr>
        <w:spacing w:line="480" w:lineRule="auto"/>
        <w:jc w:val="left"/>
        <w:rPr>
          <w:rFonts w:ascii="Times New Roman" w:eastAsia="SimSun" w:hAnsi="Times New Roman" w:cs="Times New Roman"/>
          <w:b/>
          <w:bCs/>
          <w:sz w:val="24"/>
        </w:rPr>
      </w:pPr>
      <w:r>
        <w:rPr>
          <w:rFonts w:ascii="Times New Roman" w:eastAsia="SimSun" w:hAnsi="Times New Roman" w:cs="Times New Roman"/>
          <w:b/>
          <w:bCs/>
          <w:sz w:val="24"/>
        </w:rPr>
        <w:t>Table 2. Country Fixed Effects</w:t>
      </w:r>
    </w:p>
    <w:p w:rsidR="00F5215C" w:rsidRDefault="00F5215C" w:rsidP="00F5215C">
      <w:pPr>
        <w:spacing w:line="240" w:lineRule="auto"/>
        <w:ind w:left="835"/>
        <w:jc w:val="left"/>
        <w:rPr>
          <w:rFonts w:ascii="Times New Roman" w:eastAsia="SimSun" w:hAnsi="Times New Roman" w:cs="Times New Roman"/>
          <w:bCs/>
          <w:sz w:val="24"/>
        </w:rPr>
      </w:pPr>
      <w:r>
        <w:rPr>
          <w:rFonts w:ascii="Times New Roman" w:eastAsia="SimSun" w:hAnsi="Times New Roman" w:cs="Times New Roman"/>
          <w:bCs/>
          <w:sz w:val="24"/>
        </w:rPr>
        <w:t>Dependent Variable: Safechoice</w:t>
      </w:r>
    </w:p>
    <w:tbl>
      <w:tblPr>
        <w:tblW w:w="7419" w:type="dxa"/>
        <w:jc w:val="center"/>
        <w:tblLayout w:type="fixed"/>
        <w:tblCellMar>
          <w:left w:w="75" w:type="dxa"/>
          <w:right w:w="75" w:type="dxa"/>
        </w:tblCellMar>
        <w:tblLook w:val="04A0" w:firstRow="1" w:lastRow="0" w:firstColumn="1" w:lastColumn="0" w:noHBand="0" w:noVBand="1"/>
      </w:tblPr>
      <w:tblGrid>
        <w:gridCol w:w="2235"/>
        <w:gridCol w:w="1728"/>
        <w:gridCol w:w="1728"/>
        <w:gridCol w:w="1728"/>
      </w:tblGrid>
      <w:tr w:rsidR="00F5215C" w:rsidTr="003C2538">
        <w:trPr>
          <w:jc w:val="center"/>
        </w:trPr>
        <w:tc>
          <w:tcPr>
            <w:tcW w:w="2235" w:type="dxa"/>
            <w:tcBorders>
              <w:top w:val="single" w:sz="6" w:space="0" w:color="auto"/>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VARIABLES</w:t>
            </w:r>
          </w:p>
        </w:tc>
        <w:tc>
          <w:tcPr>
            <w:tcW w:w="1728" w:type="dxa"/>
            <w:tcBorders>
              <w:top w:val="single" w:sz="6"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(1)</w:t>
            </w:r>
          </w:p>
        </w:tc>
        <w:tc>
          <w:tcPr>
            <w:tcW w:w="1728" w:type="dxa"/>
            <w:tcBorders>
              <w:top w:val="single" w:sz="6"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(2)</w:t>
            </w:r>
          </w:p>
        </w:tc>
        <w:tc>
          <w:tcPr>
            <w:tcW w:w="1728" w:type="dxa"/>
            <w:tcBorders>
              <w:top w:val="single" w:sz="6"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(3)</w:t>
            </w:r>
          </w:p>
        </w:tc>
      </w:tr>
      <w:tr w:rsidR="00F5215C" w:rsidTr="003C2538">
        <w:trPr>
          <w:jc w:val="center"/>
        </w:trPr>
        <w:tc>
          <w:tcPr>
            <w:tcW w:w="2235" w:type="dxa"/>
            <w:tcBorders>
              <w:top w:val="single" w:sz="4" w:space="0" w:color="auto"/>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single" w:sz="4"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single" w:sz="4"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single" w:sz="4" w:space="0" w:color="auto"/>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Female*MAS</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0.0422***</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0.0387***</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0.0473***</w:t>
            </w: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(0.00547)</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(0.00772)</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(0.00532)</w:t>
            </w: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Fixed Effects</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Yes</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Yes</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Yes</w:t>
            </w: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Constant</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0.548***</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0.550***</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0.546***</w:t>
            </w: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(0.00208)</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(0.00293)</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(0.00202)</w:t>
            </w: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p>
        </w:tc>
      </w:tr>
      <w:tr w:rsidR="00F5215C" w:rsidTr="003C2538">
        <w:trPr>
          <w:jc w:val="center"/>
        </w:trPr>
        <w:tc>
          <w:tcPr>
            <w:tcW w:w="2235" w:type="dxa"/>
            <w:tcBorders>
              <w:top w:val="nil"/>
              <w:left w:val="nil"/>
              <w:bottom w:val="nil"/>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Observations</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4,179</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2,605</w:t>
            </w:r>
          </w:p>
        </w:tc>
        <w:tc>
          <w:tcPr>
            <w:tcW w:w="1728" w:type="dxa"/>
            <w:tcBorders>
              <w:top w:val="nil"/>
              <w:left w:val="nil"/>
              <w:bottom w:val="nil"/>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3,096</w:t>
            </w:r>
          </w:p>
        </w:tc>
      </w:tr>
      <w:tr w:rsidR="00F5215C" w:rsidTr="003C2538">
        <w:tblPrEx>
          <w:tblBorders>
            <w:bottom w:val="single" w:sz="6" w:space="0" w:color="auto"/>
          </w:tblBorders>
        </w:tblPrEx>
        <w:trPr>
          <w:jc w:val="center"/>
        </w:trPr>
        <w:tc>
          <w:tcPr>
            <w:tcW w:w="2235" w:type="dxa"/>
            <w:tcBorders>
              <w:top w:val="nil"/>
              <w:left w:val="nil"/>
              <w:bottom w:val="single" w:sz="6" w:space="0" w:color="auto"/>
              <w:right w:val="nil"/>
            </w:tcBorders>
          </w:tcPr>
          <w:p w:rsidR="00F5215C" w:rsidRDefault="00F5215C" w:rsidP="003C2538">
            <w:pPr>
              <w:autoSpaceDE w:val="0"/>
              <w:autoSpaceDN w:val="0"/>
              <w:adjustRightInd w:val="0"/>
              <w:spacing w:after="0" w:line="240" w:lineRule="auto"/>
              <w:rPr>
                <w:rFonts w:ascii="Times New Roman" w:hAnsi="Times New Roman"/>
                <w:sz w:val="24"/>
              </w:rPr>
            </w:pPr>
            <w:r>
              <w:rPr>
                <w:rFonts w:ascii="Times New Roman" w:hAnsi="Times New Roman"/>
                <w:sz w:val="24"/>
              </w:rPr>
              <w:t>R-squared</w:t>
            </w:r>
          </w:p>
        </w:tc>
        <w:tc>
          <w:tcPr>
            <w:tcW w:w="1728" w:type="dxa"/>
            <w:tcBorders>
              <w:top w:val="nil"/>
              <w:left w:val="nil"/>
              <w:bottom w:val="single" w:sz="6" w:space="0" w:color="auto"/>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0.014</w:t>
            </w:r>
          </w:p>
        </w:tc>
        <w:tc>
          <w:tcPr>
            <w:tcW w:w="1728" w:type="dxa"/>
            <w:tcBorders>
              <w:top w:val="nil"/>
              <w:left w:val="nil"/>
              <w:bottom w:val="single" w:sz="6" w:space="0" w:color="auto"/>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0.016</w:t>
            </w:r>
          </w:p>
        </w:tc>
        <w:tc>
          <w:tcPr>
            <w:tcW w:w="1728" w:type="dxa"/>
            <w:tcBorders>
              <w:top w:val="nil"/>
              <w:left w:val="nil"/>
              <w:bottom w:val="single" w:sz="6" w:space="0" w:color="auto"/>
              <w:right w:val="nil"/>
            </w:tcBorders>
          </w:tcPr>
          <w:p w:rsidR="00F5215C" w:rsidRDefault="00F5215C" w:rsidP="003C2538">
            <w:pPr>
              <w:autoSpaceDE w:val="0"/>
              <w:autoSpaceDN w:val="0"/>
              <w:adjustRightInd w:val="0"/>
              <w:spacing w:after="0" w:line="240" w:lineRule="auto"/>
              <w:jc w:val="center"/>
              <w:rPr>
                <w:rFonts w:ascii="Times New Roman" w:hAnsi="Times New Roman"/>
                <w:sz w:val="24"/>
              </w:rPr>
            </w:pPr>
            <w:r>
              <w:rPr>
                <w:rFonts w:ascii="Times New Roman" w:hAnsi="Times New Roman"/>
                <w:sz w:val="24"/>
              </w:rPr>
              <w:t>0.016</w:t>
            </w:r>
          </w:p>
        </w:tc>
      </w:tr>
    </w:tbl>
    <w:p w:rsidR="00F5215C" w:rsidRDefault="00F5215C" w:rsidP="00F5215C">
      <w:pPr>
        <w:autoSpaceDE w:val="0"/>
        <w:autoSpaceDN w:val="0"/>
        <w:adjustRightInd w:val="0"/>
        <w:spacing w:after="0" w:line="240" w:lineRule="auto"/>
        <w:jc w:val="center"/>
        <w:rPr>
          <w:rFonts w:ascii="Times New Roman" w:hAnsi="Times New Roman"/>
          <w:sz w:val="24"/>
        </w:rPr>
      </w:pPr>
      <w:r>
        <w:rPr>
          <w:rFonts w:ascii="Times New Roman" w:hAnsi="Times New Roman"/>
          <w:sz w:val="24"/>
        </w:rPr>
        <w:t>Robust standard errors in parentheses</w:t>
      </w:r>
    </w:p>
    <w:p w:rsidR="00F5215C" w:rsidRDefault="00F5215C" w:rsidP="00F5215C">
      <w:pPr>
        <w:autoSpaceDE w:val="0"/>
        <w:autoSpaceDN w:val="0"/>
        <w:adjustRightInd w:val="0"/>
        <w:spacing w:after="0" w:line="240" w:lineRule="auto"/>
        <w:jc w:val="center"/>
        <w:rPr>
          <w:rFonts w:ascii="Times New Roman" w:hAnsi="Times New Roman"/>
          <w:sz w:val="24"/>
        </w:rPr>
      </w:pPr>
      <w:r>
        <w:rPr>
          <w:rFonts w:ascii="Times New Roman" w:hAnsi="Times New Roman"/>
          <w:sz w:val="24"/>
        </w:rPr>
        <w:t>*** p&lt;0.01, ** p&lt;0.05, * p&lt;0.1</w:t>
      </w:r>
    </w:p>
    <w:p w:rsidR="00F5215C" w:rsidRDefault="00F5215C" w:rsidP="003A1108">
      <w:pPr>
        <w:spacing w:line="480" w:lineRule="auto"/>
        <w:rPr>
          <w:rFonts w:ascii="Times New Roman" w:hAnsi="Times New Roman" w:cs="Times New Roman"/>
          <w:b/>
          <w:bCs/>
          <w:sz w:val="24"/>
        </w:rPr>
      </w:pPr>
    </w:p>
    <w:p w:rsidR="00535F04" w:rsidRDefault="0020353E" w:rsidP="003A1108">
      <w:pPr>
        <w:spacing w:line="480" w:lineRule="auto"/>
        <w:ind w:firstLine="420"/>
        <w:jc w:val="center"/>
        <w:rPr>
          <w:rFonts w:ascii="Times New Roman" w:hAnsi="Times New Roman" w:cs="Times New Roman"/>
          <w:sz w:val="24"/>
        </w:rPr>
      </w:pPr>
      <w:r>
        <w:rPr>
          <w:rFonts w:ascii="Times New Roman" w:hAnsi="Times New Roman" w:cs="Times New Roman"/>
          <w:b/>
          <w:bCs/>
          <w:sz w:val="24"/>
        </w:rPr>
        <w:t>Section 5: Discussion</w:t>
      </w:r>
    </w:p>
    <w:p w:rsidR="00535F04" w:rsidRDefault="0020353E" w:rsidP="00557156">
      <w:pPr>
        <w:spacing w:line="480" w:lineRule="auto"/>
        <w:ind w:firstLine="420"/>
        <w:jc w:val="left"/>
        <w:rPr>
          <w:rFonts w:ascii="Times New Roman" w:hAnsi="Times New Roman" w:cs="Times New Roman"/>
          <w:sz w:val="24"/>
        </w:rPr>
      </w:pPr>
      <w:r>
        <w:rPr>
          <w:rFonts w:ascii="Times New Roman" w:hAnsi="Times New Roman" w:cs="Times New Roman"/>
          <w:sz w:val="24"/>
        </w:rPr>
        <w:t>Taken together, there are two important findings from my study. First, consistent with previous literature, my results indicate that culture is a significant predictor of risk attitudes. More importantly, ma</w:t>
      </w:r>
      <w:r w:rsidR="00D51076">
        <w:rPr>
          <w:rFonts w:ascii="Times New Roman" w:hAnsi="Times New Roman" w:cs="Times New Roman"/>
          <w:sz w:val="24"/>
        </w:rPr>
        <w:t>sculinity affects the gender disparity</w:t>
      </w:r>
      <w:r>
        <w:rPr>
          <w:rFonts w:ascii="Times New Roman" w:hAnsi="Times New Roman" w:cs="Times New Roman"/>
          <w:sz w:val="24"/>
        </w:rPr>
        <w:t xml:space="preserve"> in risk. This is evidence against the popular biological hypothesis since if the gender gap is entirely due to biological reasons, we should find no cross-cultural variations. Instead, in countries with a higher level of masculinity, the gender differences in risk preferences are larger. When masculinity is high, the gender roles are clearly differentiated in a society. In other words, men are sup</w:t>
      </w:r>
      <w:r w:rsidR="00557156">
        <w:rPr>
          <w:rFonts w:ascii="Times New Roman" w:hAnsi="Times New Roman" w:cs="Times New Roman"/>
          <w:sz w:val="24"/>
        </w:rPr>
        <w:t xml:space="preserve">posed to behave in a masculine way – </w:t>
      </w:r>
      <w:r>
        <w:rPr>
          <w:rFonts w:ascii="Times New Roman" w:hAnsi="Times New Roman" w:cs="Times New Roman"/>
          <w:sz w:val="24"/>
        </w:rPr>
        <w:t>assertive, competitive, and ambitious</w:t>
      </w:r>
      <w:r w:rsidR="00557156">
        <w:rPr>
          <w:rFonts w:ascii="Times New Roman" w:hAnsi="Times New Roman" w:cs="Times New Roman"/>
          <w:sz w:val="24"/>
        </w:rPr>
        <w:t xml:space="preserve"> – </w:t>
      </w:r>
      <w:r>
        <w:rPr>
          <w:rFonts w:ascii="Times New Roman" w:hAnsi="Times New Roman" w:cs="Times New Roman"/>
          <w:sz w:val="24"/>
        </w:rPr>
        <w:t>whereas women are suppo</w:t>
      </w:r>
      <w:r w:rsidR="00557156">
        <w:rPr>
          <w:rFonts w:ascii="Times New Roman" w:hAnsi="Times New Roman" w:cs="Times New Roman"/>
          <w:sz w:val="24"/>
        </w:rPr>
        <w:t>sed to behave in a feminine way –</w:t>
      </w:r>
      <w:r>
        <w:rPr>
          <w:rFonts w:ascii="Times New Roman" w:hAnsi="Times New Roman" w:cs="Times New Roman"/>
          <w:sz w:val="24"/>
        </w:rPr>
        <w:t xml:space="preserve"> tender, modest, and relationship-oriented. On the contrary, if masculinity is low, the gender roles are overlapping, and both females and males value modesty, tenderness, and quality of life.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My result</w:t>
      </w:r>
      <w:r w:rsidR="00771FAB">
        <w:rPr>
          <w:rFonts w:ascii="Times New Roman" w:hAnsi="Times New Roman" w:cs="Times New Roman"/>
          <w:sz w:val="24"/>
        </w:rPr>
        <w:t>s go</w:t>
      </w:r>
      <w:r>
        <w:rPr>
          <w:rFonts w:ascii="Times New Roman" w:hAnsi="Times New Roman" w:cs="Times New Roman"/>
          <w:sz w:val="24"/>
        </w:rPr>
        <w:t xml:space="preserve"> along with Rai’s social norm hypothesis (2014). In this context, differentiated gender roles are the social norm established in a masculine country. Since many people believe that risk-taking is a “masculine” feature (Paul, 2017), females might feel they are obligated to behave in a “feminine” way and</w:t>
      </w:r>
      <w:r w:rsidR="00771FAB">
        <w:rPr>
          <w:rFonts w:ascii="Times New Roman" w:hAnsi="Times New Roman" w:cs="Times New Roman"/>
          <w:sz w:val="24"/>
        </w:rPr>
        <w:t xml:space="preserve"> therefore,</w:t>
      </w:r>
      <w:r>
        <w:rPr>
          <w:rFonts w:ascii="Times New Roman" w:hAnsi="Times New Roman" w:cs="Times New Roman"/>
          <w:sz w:val="24"/>
        </w:rPr>
        <w:t xml:space="preserve"> become more risk averse than their male counterparts. In other words, the differentiated gender roles put restrictions on people’s behaviors. There is also research showing that men in a masculine society are more likely to suffer from anxiety and mental health issues, which can also be due to that fact that they are trying to meet the “masculine” standard and behave in a competitive way (Wong et al., 2016). Hence, it seems that these narrow and restricted standards built for gender roles have significant negative impacts on both females and males.</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What can we do then? As Hofstede (2005) and many other cross-cultural scholars have argued, culture is a relatively stable feature of a group, and it is passed along from generation to generation. Therefore, in my view, the best way for policy makers to intervene is through education. This does not mean that we should encourage everyone, females and males, to behave in the same way and eliminate all the gender differences. However, I think it is critical that we educate people, especially children, that they do not have to be restricted by the social norms or live up to certain expectations. Everyone should have the ability to freely decide what his or her own way is, without being judged by others or by the society.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 xml:space="preserve">Finally, the last aspects I want to discuss briefly are the limitations of the study and future research directions. First, as I mentioned in the beginning, this result should not be taken as conclusive given that I only analyzed student samples in my study. Also, there could be international students included in my sample, but I do not have data to identify from where each individual comes. It would be interesting to compare the international student sample to the home country sample and check if they behave differently. Second, it would be helpful if I had more data on </w:t>
      </w:r>
      <w:r w:rsidR="006A0354">
        <w:rPr>
          <w:rFonts w:ascii="Times New Roman" w:hAnsi="Times New Roman" w:cs="Times New Roman"/>
          <w:sz w:val="24"/>
        </w:rPr>
        <w:t xml:space="preserve">other </w:t>
      </w:r>
      <w:r>
        <w:rPr>
          <w:rFonts w:ascii="Times New Roman" w:hAnsi="Times New Roman" w:cs="Times New Roman"/>
          <w:sz w:val="24"/>
        </w:rPr>
        <w:t xml:space="preserve">control variables, such as majors, parents’ education, household wealth and so on. For instance, </w:t>
      </w:r>
      <w:r w:rsidR="0030527A">
        <w:rPr>
          <w:rFonts w:ascii="Times New Roman" w:hAnsi="Times New Roman" w:cs="Times New Roman"/>
          <w:sz w:val="24"/>
        </w:rPr>
        <w:t xml:space="preserve">based on data from Human Developments, </w:t>
      </w:r>
      <w:r>
        <w:rPr>
          <w:rFonts w:ascii="Times New Roman" w:hAnsi="Times New Roman" w:cs="Times New Roman"/>
          <w:sz w:val="24"/>
        </w:rPr>
        <w:t>while the female expected years of schooling in 2010 was 10.5 years in India and 10.7 years in Morocco, it was 16.5 years in the United States and 17.2 years in Netherlands. He</w:t>
      </w:r>
      <w:r w:rsidR="006A0354">
        <w:rPr>
          <w:rFonts w:ascii="Times New Roman" w:hAnsi="Times New Roman" w:cs="Times New Roman"/>
          <w:sz w:val="24"/>
        </w:rPr>
        <w:t>nce, the college students from</w:t>
      </w:r>
      <w:r w:rsidR="008A71B3">
        <w:rPr>
          <w:rFonts w:ascii="Times New Roman" w:hAnsi="Times New Roman" w:cs="Times New Roman"/>
          <w:sz w:val="24"/>
        </w:rPr>
        <w:t xml:space="preserve"> the</w:t>
      </w:r>
      <w:r w:rsidR="006A0354">
        <w:rPr>
          <w:rFonts w:ascii="Times New Roman" w:hAnsi="Times New Roman" w:cs="Times New Roman"/>
          <w:sz w:val="24"/>
        </w:rPr>
        <w:t xml:space="preserve"> developing</w:t>
      </w:r>
      <w:r>
        <w:rPr>
          <w:rFonts w:ascii="Times New Roman" w:hAnsi="Times New Roman" w:cs="Times New Roman"/>
          <w:sz w:val="24"/>
        </w:rPr>
        <w:t xml:space="preserve"> countries in my sample might come from wealthier families compared to their national average, which </w:t>
      </w:r>
      <w:r w:rsidR="006A0354">
        <w:rPr>
          <w:rFonts w:ascii="Times New Roman" w:hAnsi="Times New Roman" w:cs="Times New Roman"/>
          <w:sz w:val="24"/>
        </w:rPr>
        <w:t xml:space="preserve">could </w:t>
      </w:r>
      <w:r>
        <w:rPr>
          <w:rFonts w:ascii="Times New Roman" w:hAnsi="Times New Roman" w:cs="Times New Roman"/>
          <w:sz w:val="24"/>
        </w:rPr>
        <w:t xml:space="preserve">affect their risk attitudes. Having more data on control variables can further ensure that the background factors are homogeneous across nations. Furthermore, many of the countries in my sample are developed Western countries, where most of the risk experiments were conducted. For future research, it will be important to include a more geographically and economically diversified sample of countries. Finally, another critical topic for future research is religion. Research shows that religion is related to gender identities as well as status of women (Klingorova and Havlicek, 2015), and it is worth looking at how that affects the gender differences in risk preferences. </w:t>
      </w:r>
    </w:p>
    <w:p w:rsidR="00535F04" w:rsidRDefault="0020353E">
      <w:pPr>
        <w:spacing w:line="480" w:lineRule="auto"/>
        <w:ind w:firstLine="420"/>
        <w:jc w:val="left"/>
        <w:rPr>
          <w:rFonts w:ascii="Times New Roman" w:hAnsi="Times New Roman" w:cs="Times New Roman"/>
          <w:sz w:val="24"/>
        </w:rPr>
      </w:pPr>
      <w:r>
        <w:rPr>
          <w:rFonts w:ascii="Times New Roman" w:hAnsi="Times New Roman" w:cs="Times New Roman"/>
          <w:sz w:val="24"/>
        </w:rPr>
        <w:t>To summarize, my study contributes to the nature vs. nurture argument in explaining the gender gap in risk attitudes, and it helps us understand the st</w:t>
      </w:r>
      <w:r w:rsidR="006F3960">
        <w:rPr>
          <w:rFonts w:ascii="Times New Roman" w:hAnsi="Times New Roman" w:cs="Times New Roman"/>
          <w:sz w:val="24"/>
        </w:rPr>
        <w:t xml:space="preserve">ory behind this gap better. The paper provides </w:t>
      </w:r>
      <w:r>
        <w:rPr>
          <w:rFonts w:ascii="Times New Roman" w:hAnsi="Times New Roman" w:cs="Times New Roman"/>
          <w:sz w:val="24"/>
        </w:rPr>
        <w:t>strong evidence that culture could affect the gender difference in risk. The results also have important implications in real life. For the well-being of both women and men, we should work together to break down gender norms and restrictions that we as a society have created. Are men really from Mars and women from Venus as John Gray (1992) claimed? I do not think so. We are all from the same planet, and let us not use gender norms to build up a gap and separate ourselves.</w:t>
      </w:r>
    </w:p>
    <w:p w:rsidR="00535F04" w:rsidRDefault="00535F04" w:rsidP="00560D81">
      <w:pPr>
        <w:spacing w:line="480" w:lineRule="auto"/>
        <w:rPr>
          <w:rFonts w:ascii="Times New Roman" w:hAnsi="Times New Roman" w:cs="Times New Roman"/>
          <w:b/>
          <w:bCs/>
          <w:sz w:val="24"/>
        </w:rPr>
      </w:pPr>
    </w:p>
    <w:p w:rsidR="006A0354" w:rsidRDefault="006A0354" w:rsidP="00560D81">
      <w:pPr>
        <w:spacing w:line="480" w:lineRule="auto"/>
        <w:rPr>
          <w:rFonts w:ascii="Times New Roman" w:hAnsi="Times New Roman" w:cs="Times New Roman"/>
          <w:b/>
          <w:bCs/>
          <w:sz w:val="24"/>
        </w:rPr>
      </w:pPr>
    </w:p>
    <w:p w:rsidR="00240E6E" w:rsidRDefault="00240E6E" w:rsidP="00560D81">
      <w:pPr>
        <w:spacing w:line="480" w:lineRule="auto"/>
        <w:rPr>
          <w:rFonts w:ascii="Times New Roman" w:hAnsi="Times New Roman" w:cs="Times New Roman"/>
          <w:b/>
          <w:bCs/>
          <w:sz w:val="24"/>
        </w:rPr>
      </w:pPr>
    </w:p>
    <w:p w:rsidR="00535F04" w:rsidRDefault="0020353E">
      <w:pPr>
        <w:spacing w:line="480" w:lineRule="auto"/>
        <w:jc w:val="center"/>
        <w:rPr>
          <w:rFonts w:ascii="Times New Roman" w:hAnsi="Times New Roman" w:cs="Times New Roman"/>
          <w:b/>
          <w:bCs/>
          <w:sz w:val="24"/>
        </w:rPr>
      </w:pPr>
      <w:r>
        <w:rPr>
          <w:rFonts w:ascii="Times New Roman" w:hAnsi="Times New Roman" w:cs="Times New Roman"/>
          <w:b/>
          <w:bCs/>
          <w:sz w:val="24"/>
        </w:rPr>
        <w:t>References</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Abdellaoui, M., Driouchi, A., &amp; L’Haridon, O. (2011). Risk aversion elicitation: reconciling tractability and bias minimization. </w:t>
      </w:r>
      <w:r w:rsidRPr="00240E6E">
        <w:rPr>
          <w:rFonts w:ascii="Times New Roman" w:eastAsia="Calibri" w:hAnsi="Times New Roman" w:cs="Times New Roman"/>
          <w:i/>
          <w:kern w:val="0"/>
          <w:sz w:val="24"/>
          <w:lang w:eastAsia="en-US"/>
        </w:rPr>
        <w:t>Theory and Decision, 71:</w:t>
      </w:r>
      <w:r w:rsidRPr="00240E6E">
        <w:rPr>
          <w:rFonts w:ascii="Times New Roman" w:eastAsia="Calibri" w:hAnsi="Times New Roman" w:cs="Times New Roman"/>
          <w:kern w:val="0"/>
          <w:sz w:val="24"/>
          <w:lang w:eastAsia="en-US"/>
        </w:rPr>
        <w:t xml:space="preserve"> 63–80.</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Bajtelsmit, V.L., &amp; Bernasek, A. (1996). Why do women invest differently than men? </w:t>
      </w:r>
      <w:r w:rsidRPr="00240E6E">
        <w:rPr>
          <w:rFonts w:ascii="Times New Roman" w:eastAsia="Calibri" w:hAnsi="Times New Roman" w:cs="Times New Roman"/>
          <w:i/>
          <w:kern w:val="0"/>
          <w:sz w:val="24"/>
          <w:lang w:eastAsia="en-US"/>
        </w:rPr>
        <w:t xml:space="preserve">Financial Counseling and Planning, 7: </w:t>
      </w:r>
      <w:r w:rsidRPr="00240E6E">
        <w:rPr>
          <w:rFonts w:ascii="Times New Roman" w:eastAsia="Calibri" w:hAnsi="Times New Roman" w:cs="Times New Roman"/>
          <w:kern w:val="0"/>
          <w:sz w:val="24"/>
          <w:lang w:eastAsia="en-US"/>
        </w:rPr>
        <w:t>1-10.</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Ball, S., Eckel, C.C., &amp; Heracleous, M. (2010). Risk aversion and physical prowess: Prediction, choice and bias. </w:t>
      </w:r>
      <w:r w:rsidRPr="00240E6E">
        <w:rPr>
          <w:rFonts w:ascii="Times New Roman" w:eastAsia="Calibri" w:hAnsi="Times New Roman" w:cs="Times New Roman"/>
          <w:i/>
          <w:kern w:val="0"/>
          <w:sz w:val="24"/>
          <w:lang w:eastAsia="en-US"/>
        </w:rPr>
        <w:t>Journal of Risk and Uncertainty, 41:</w:t>
      </w:r>
      <w:r w:rsidRPr="00240E6E">
        <w:rPr>
          <w:rFonts w:ascii="Times New Roman" w:eastAsia="Calibri" w:hAnsi="Times New Roman" w:cs="Times New Roman"/>
          <w:kern w:val="0"/>
          <w:sz w:val="24"/>
          <w:lang w:eastAsia="en-US"/>
        </w:rPr>
        <w:t xml:space="preserve"> 167-193.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Bauernschuster, S., Duersch, P., Oechssler, J., &amp; Vadovic, R. (2010). Mandatory sick pay provision: A labor market experiment. </w:t>
      </w:r>
      <w:r w:rsidRPr="00240E6E">
        <w:rPr>
          <w:rFonts w:ascii="Times New Roman" w:eastAsia="Calibri" w:hAnsi="Times New Roman" w:cs="Times New Roman"/>
          <w:i/>
          <w:kern w:val="0"/>
          <w:sz w:val="24"/>
          <w:lang w:eastAsia="en-US"/>
        </w:rPr>
        <w:t>Journal of Public Economics, 94(11-12):</w:t>
      </w:r>
      <w:r w:rsidRPr="00240E6E">
        <w:rPr>
          <w:rFonts w:ascii="Times New Roman" w:eastAsia="Calibri" w:hAnsi="Times New Roman" w:cs="Times New Roman"/>
          <w:kern w:val="0"/>
          <w:sz w:val="24"/>
          <w:lang w:eastAsia="en-US"/>
        </w:rPr>
        <w:t xml:space="preserve"> 870 – 877.</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Blue, L. (2008). Why do women live longer than men? </w:t>
      </w:r>
      <w:r w:rsidRPr="00240E6E">
        <w:rPr>
          <w:rFonts w:ascii="Times New Roman" w:eastAsia="Calibri" w:hAnsi="Times New Roman" w:cs="Times New Roman"/>
          <w:i/>
          <w:kern w:val="0"/>
          <w:sz w:val="24"/>
          <w:lang w:eastAsia="en-US"/>
        </w:rPr>
        <w:t xml:space="preserve">Time. </w:t>
      </w:r>
      <w:r w:rsidRPr="00240E6E">
        <w:rPr>
          <w:rFonts w:ascii="Times New Roman" w:eastAsia="Calibri" w:hAnsi="Times New Roman" w:cs="Times New Roman"/>
          <w:kern w:val="0"/>
          <w:sz w:val="24"/>
          <w:lang w:eastAsia="en-US"/>
        </w:rPr>
        <w:t xml:space="preserve">Retrieved from </w:t>
      </w:r>
      <w:hyperlink r:id="rId21" w:history="1">
        <w:r w:rsidRPr="00240E6E">
          <w:rPr>
            <w:rFonts w:ascii="Times New Roman" w:eastAsia="Times New Roman" w:hAnsi="Times New Roman" w:cs="Times New Roman"/>
            <w:color w:val="0000FF"/>
            <w:sz w:val="24"/>
            <w:u w:val="single"/>
          </w:rPr>
          <w:t>http://content.time.com/time/health/article/0,8599,1827162,00.html</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Booth, A.L., &amp; Nolen, P. (2012). Gender differences in risk behavior: Does nurture matter? </w:t>
      </w:r>
      <w:r w:rsidRPr="00240E6E">
        <w:rPr>
          <w:rFonts w:ascii="Times New Roman" w:eastAsia="Calibri" w:hAnsi="Times New Roman" w:cs="Times New Roman"/>
          <w:i/>
          <w:kern w:val="0"/>
          <w:sz w:val="24"/>
          <w:lang w:eastAsia="en-US"/>
        </w:rPr>
        <w:t xml:space="preserve">The Economic Journal, 122(558): </w:t>
      </w:r>
      <w:r w:rsidRPr="00240E6E">
        <w:rPr>
          <w:rFonts w:ascii="Times New Roman" w:eastAsia="Calibri" w:hAnsi="Times New Roman" w:cs="Times New Roman"/>
          <w:kern w:val="0"/>
          <w:sz w:val="24"/>
          <w:lang w:eastAsia="en-US"/>
        </w:rPr>
        <w:t>56-78.</w:t>
      </w:r>
    </w:p>
    <w:p w:rsidR="00240E6E" w:rsidRPr="00240E6E" w:rsidRDefault="00240E6E" w:rsidP="00240E6E">
      <w:pPr>
        <w:widowControl/>
        <w:spacing w:line="480" w:lineRule="auto"/>
        <w:ind w:left="720" w:hanging="720"/>
        <w:jc w:val="left"/>
        <w:rPr>
          <w:rFonts w:ascii="Calibri" w:eastAsia="Times New Roman" w:hAnsi="Calibri" w:cs="Times New Roman"/>
          <w:color w:val="0000FF"/>
          <w:sz w:val="22"/>
          <w:szCs w:val="22"/>
          <w:u w:val="single"/>
        </w:rPr>
      </w:pPr>
      <w:r w:rsidRPr="00240E6E">
        <w:rPr>
          <w:rFonts w:ascii="Times New Roman" w:eastAsia="Calibri" w:hAnsi="Times New Roman" w:cs="Times New Roman"/>
          <w:kern w:val="0"/>
          <w:sz w:val="24"/>
          <w:lang w:eastAsia="en-US"/>
        </w:rPr>
        <w:t xml:space="preserve">Brown, J.E., Rhee, N., Saad-Lessler, J., &amp; Oakley, D. (2016). Shortchanged in retirement, continuing challenges to women’s financial future. </w:t>
      </w:r>
      <w:r w:rsidRPr="00240E6E">
        <w:rPr>
          <w:rFonts w:ascii="Times New Roman" w:eastAsia="Calibri" w:hAnsi="Times New Roman" w:cs="Times New Roman"/>
          <w:i/>
          <w:kern w:val="0"/>
          <w:sz w:val="24"/>
          <w:lang w:eastAsia="en-US"/>
        </w:rPr>
        <w:t>National Institute on Retirement Security.</w:t>
      </w:r>
      <w:r w:rsidRPr="00240E6E">
        <w:rPr>
          <w:rFonts w:ascii="Times New Roman" w:eastAsia="Calibri" w:hAnsi="Times New Roman" w:cs="Times New Roman"/>
          <w:kern w:val="0"/>
          <w:sz w:val="24"/>
          <w:lang w:eastAsia="en-US"/>
        </w:rPr>
        <w:t xml:space="preserve"> Retrieved from </w:t>
      </w:r>
      <w:hyperlink r:id="rId22" w:history="1">
        <w:r w:rsidRPr="00240E6E">
          <w:rPr>
            <w:rFonts w:ascii="Times New Roman" w:eastAsia="Times New Roman" w:hAnsi="Times New Roman" w:cs="Times New Roman"/>
            <w:color w:val="0000FF"/>
            <w:sz w:val="24"/>
            <w:u w:val="single"/>
          </w:rPr>
          <w:t>http://laborcenter.berkeley.edu/pdf/2016/NIRS-Women-In-Retirement.pdf</w:t>
        </w:r>
      </w:hyperlink>
    </w:p>
    <w:p w:rsidR="00240E6E" w:rsidRPr="00240E6E" w:rsidRDefault="00240E6E" w:rsidP="00240E6E">
      <w:pPr>
        <w:widowControl/>
        <w:spacing w:line="480" w:lineRule="auto"/>
        <w:ind w:left="720" w:hanging="720"/>
        <w:jc w:val="left"/>
        <w:rPr>
          <w:rFonts w:ascii="Times New Roman" w:eastAsia="Calibri" w:hAnsi="Times New Roman" w:cs="Times New Roman"/>
          <w:iCs/>
          <w:kern w:val="0"/>
          <w:sz w:val="24"/>
          <w:lang w:eastAsia="en-US"/>
        </w:rPr>
      </w:pPr>
      <w:r w:rsidRPr="00240E6E">
        <w:rPr>
          <w:rFonts w:ascii="Times New Roman" w:eastAsia="Calibri" w:hAnsi="Times New Roman" w:cs="Times New Roman"/>
          <w:kern w:val="0"/>
          <w:sz w:val="24"/>
          <w:lang w:eastAsia="en-US"/>
        </w:rPr>
        <w:t xml:space="preserve">Buss, D. M. (2003). </w:t>
      </w:r>
      <w:r w:rsidRPr="00240E6E">
        <w:rPr>
          <w:rFonts w:ascii="Times New Roman" w:eastAsia="Calibri" w:hAnsi="Times New Roman" w:cs="Times New Roman"/>
          <w:i/>
          <w:kern w:val="0"/>
          <w:sz w:val="24"/>
          <w:lang w:eastAsia="en-US"/>
        </w:rPr>
        <w:t>The evolution of desire: Strategies of human mating.</w:t>
      </w:r>
      <w:r w:rsidRPr="00240E6E">
        <w:rPr>
          <w:rFonts w:ascii="Times New Roman" w:eastAsia="Calibri" w:hAnsi="Times New Roman" w:cs="Times New Roman"/>
          <w:kern w:val="0"/>
          <w:sz w:val="24"/>
          <w:lang w:eastAsia="en-US"/>
        </w:rPr>
        <w:t xml:space="preserve"> </w:t>
      </w:r>
      <w:r w:rsidRPr="00240E6E">
        <w:rPr>
          <w:rFonts w:ascii="Times New Roman" w:eastAsia="Calibri" w:hAnsi="Times New Roman" w:cs="Times New Roman"/>
          <w:iCs/>
          <w:kern w:val="0"/>
          <w:sz w:val="24"/>
          <w:lang w:eastAsia="en-US"/>
        </w:rPr>
        <w:t>New York: Basic Books.</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Byrnes, J., Miller, D.V., &amp; Schafer, W.D. (1999). Gender differences in risk taking: a meta-analysis. </w:t>
      </w:r>
      <w:r w:rsidRPr="00240E6E">
        <w:rPr>
          <w:rFonts w:ascii="Times New Roman" w:eastAsia="Calibri" w:hAnsi="Times New Roman" w:cs="Times New Roman"/>
          <w:i/>
          <w:kern w:val="0"/>
          <w:sz w:val="24"/>
          <w:lang w:eastAsia="en-US"/>
        </w:rPr>
        <w:t>Psychological Bulletin, 125(3):</w:t>
      </w:r>
      <w:r w:rsidRPr="00240E6E">
        <w:rPr>
          <w:rFonts w:ascii="Times New Roman" w:eastAsia="Calibri" w:hAnsi="Times New Roman" w:cs="Times New Roman"/>
          <w:kern w:val="0"/>
          <w:sz w:val="24"/>
          <w:lang w:eastAsia="en-US"/>
        </w:rPr>
        <w:t xml:space="preserve"> 367-383.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Carr, P.B., &amp; Steele, C.M. (2010). Stereotype threat affects financial decision making. </w:t>
      </w:r>
      <w:r w:rsidRPr="00240E6E">
        <w:rPr>
          <w:rFonts w:ascii="Times New Roman" w:eastAsia="Calibri" w:hAnsi="Times New Roman" w:cs="Times New Roman"/>
          <w:i/>
          <w:kern w:val="0"/>
          <w:sz w:val="24"/>
          <w:lang w:eastAsia="en-US"/>
        </w:rPr>
        <w:t>Psychological Science, 21(10):</w:t>
      </w:r>
      <w:r w:rsidRPr="00240E6E">
        <w:rPr>
          <w:rFonts w:ascii="Times New Roman" w:eastAsia="Calibri" w:hAnsi="Times New Roman" w:cs="Times New Roman"/>
          <w:kern w:val="0"/>
          <w:sz w:val="24"/>
          <w:lang w:eastAsia="en-US"/>
        </w:rPr>
        <w:t xml:space="preserve"> 1411-1416.</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Chakravarty, S., Harrison, G. W., Haruvy, E. E., &amp; Rutström, E. E. (2011). Are you risk averse over other people’s money? </w:t>
      </w:r>
      <w:r w:rsidRPr="00240E6E">
        <w:rPr>
          <w:rFonts w:ascii="Times New Roman" w:eastAsia="Calibri" w:hAnsi="Times New Roman" w:cs="Times New Roman"/>
          <w:i/>
          <w:kern w:val="0"/>
          <w:sz w:val="24"/>
          <w:lang w:eastAsia="en-US"/>
        </w:rPr>
        <w:t>Southern Economic Journal, 77(4):</w:t>
      </w:r>
      <w:r w:rsidRPr="00240E6E">
        <w:rPr>
          <w:rFonts w:ascii="Times New Roman" w:eastAsia="Calibri" w:hAnsi="Times New Roman" w:cs="Times New Roman"/>
          <w:kern w:val="0"/>
          <w:sz w:val="24"/>
          <w:lang w:eastAsia="en-US"/>
        </w:rPr>
        <w:t xml:space="preserve"> 901 – 913.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Charness, G, &amp; Gneezy, U. (2012). Strong evidence for gender differences in risk taking. </w:t>
      </w:r>
      <w:r w:rsidRPr="00240E6E">
        <w:rPr>
          <w:rFonts w:ascii="Times New Roman" w:eastAsia="Calibri" w:hAnsi="Times New Roman" w:cs="Times New Roman"/>
          <w:i/>
          <w:kern w:val="0"/>
          <w:sz w:val="24"/>
          <w:lang w:eastAsia="en-US"/>
        </w:rPr>
        <w:t>Journal of Economic Behavior &amp; Organization, 83 (1):</w:t>
      </w:r>
      <w:r w:rsidRPr="00240E6E">
        <w:rPr>
          <w:rFonts w:ascii="Times New Roman" w:eastAsia="Calibri" w:hAnsi="Times New Roman" w:cs="Times New Roman"/>
          <w:kern w:val="0"/>
          <w:sz w:val="24"/>
          <w:lang w:eastAsia="en-US"/>
        </w:rPr>
        <w:t xml:space="preserve"> 50-58.</w:t>
      </w:r>
    </w:p>
    <w:p w:rsidR="00240E6E" w:rsidRPr="00240E6E" w:rsidRDefault="00393D34"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Chen, Y., Katuš</w:t>
      </w:r>
      <w:r w:rsidR="00240E6E" w:rsidRPr="00240E6E">
        <w:rPr>
          <w:rFonts w:ascii="Times New Roman" w:eastAsia="Calibri" w:hAnsi="Times New Roman" w:cs="Times New Roman"/>
          <w:kern w:val="0"/>
          <w:sz w:val="24"/>
          <w:lang w:eastAsia="en-US"/>
        </w:rPr>
        <w:t xml:space="preserve">cák, P., &amp; Ozdenoren, E. (2013). Why can’t a woman bid more like a man? </w:t>
      </w:r>
      <w:r w:rsidR="00240E6E" w:rsidRPr="00240E6E">
        <w:rPr>
          <w:rFonts w:ascii="Times New Roman" w:eastAsia="Calibri" w:hAnsi="Times New Roman" w:cs="Times New Roman"/>
          <w:i/>
          <w:kern w:val="0"/>
          <w:sz w:val="24"/>
          <w:lang w:eastAsia="en-US"/>
        </w:rPr>
        <w:t>Games and Economic Behavior, 77(1):</w:t>
      </w:r>
      <w:r w:rsidR="00240E6E" w:rsidRPr="00240E6E">
        <w:rPr>
          <w:rFonts w:ascii="Times New Roman" w:eastAsia="Calibri" w:hAnsi="Times New Roman" w:cs="Times New Roman"/>
          <w:kern w:val="0"/>
          <w:sz w:val="24"/>
          <w:lang w:eastAsia="en-US"/>
        </w:rPr>
        <w:t xml:space="preserve"> 181–213.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Christiansen, B., Yildiz, S., &amp; Yildiz, E. (2014). </w:t>
      </w:r>
      <w:r w:rsidRPr="00240E6E">
        <w:rPr>
          <w:rFonts w:ascii="Times New Roman" w:eastAsia="Calibri" w:hAnsi="Times New Roman" w:cs="Times New Roman"/>
          <w:i/>
          <w:kern w:val="0"/>
          <w:sz w:val="24"/>
          <w:lang w:eastAsia="en-US"/>
        </w:rPr>
        <w:t xml:space="preserve">Transcultural marketing for incremental and radical Innovation. </w:t>
      </w:r>
      <w:r w:rsidRPr="00240E6E">
        <w:rPr>
          <w:rFonts w:ascii="Times New Roman" w:eastAsia="Calibri" w:hAnsi="Times New Roman" w:cs="Times New Roman"/>
          <w:kern w:val="0"/>
          <w:sz w:val="24"/>
          <w:lang w:eastAsia="en-US"/>
        </w:rPr>
        <w:t xml:space="preserve">Hershey, PA: IGI Global.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Costa, Paul, Jr.; Terracciano, Antonio; McCrae, Robert R. (2001). Gender differences in      personality traits across cultures: Robust and surprising findings. </w:t>
      </w:r>
      <w:r w:rsidRPr="00240E6E">
        <w:rPr>
          <w:rFonts w:ascii="Times New Roman" w:eastAsia="Calibri" w:hAnsi="Times New Roman" w:cs="Times New Roman"/>
          <w:i/>
          <w:kern w:val="0"/>
          <w:sz w:val="24"/>
          <w:lang w:eastAsia="en-US"/>
        </w:rPr>
        <w:t xml:space="preserve">Journal of Personality and Social Psychology, 81 (2): </w:t>
      </w:r>
      <w:r w:rsidRPr="00240E6E">
        <w:rPr>
          <w:rFonts w:ascii="Times New Roman" w:eastAsia="Calibri" w:hAnsi="Times New Roman" w:cs="Times New Roman"/>
          <w:kern w:val="0"/>
          <w:sz w:val="24"/>
          <w:lang w:eastAsia="en-US"/>
        </w:rPr>
        <w:t>322–31. doi:10.1037/0022-3514.81.2.322.</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Crosetto, P., &amp; Filippin, A., (2013). A theoretical and experimental appraisal of five risk elicitation methods. </w:t>
      </w:r>
      <w:r w:rsidRPr="00240E6E">
        <w:rPr>
          <w:rFonts w:ascii="Times New Roman" w:eastAsia="Calibri" w:hAnsi="Times New Roman" w:cs="Times New Roman"/>
          <w:i/>
          <w:kern w:val="0"/>
          <w:sz w:val="24"/>
          <w:lang w:eastAsia="en-US"/>
        </w:rPr>
        <w:t>Jena Economic Research Papers, 2013(9).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Croson, R., &amp; Gneezy, U. (2009). Gender differences in preferences. </w:t>
      </w:r>
      <w:r w:rsidRPr="00240E6E">
        <w:rPr>
          <w:rFonts w:ascii="Times New Roman" w:eastAsia="Calibri" w:hAnsi="Times New Roman" w:cs="Times New Roman"/>
          <w:i/>
          <w:kern w:val="0"/>
          <w:sz w:val="24"/>
          <w:lang w:eastAsia="en-US"/>
        </w:rPr>
        <w:t xml:space="preserve">Journal of Economic Literature, 47(2): </w:t>
      </w:r>
      <w:r w:rsidRPr="00240E6E">
        <w:rPr>
          <w:rFonts w:ascii="Times New Roman" w:eastAsia="Calibri" w:hAnsi="Times New Roman" w:cs="Times New Roman"/>
          <w:kern w:val="0"/>
          <w:sz w:val="24"/>
          <w:lang w:eastAsia="en-US"/>
        </w:rPr>
        <w:t xml:space="preserve">448-474.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D’Acunto, F (2015). </w:t>
      </w:r>
      <w:hyperlink r:id="rId23" w:history="1">
        <w:r w:rsidR="00393D34">
          <w:rPr>
            <w:rFonts w:ascii="Times New Roman" w:eastAsia="Calibri" w:hAnsi="Times New Roman" w:cs="Times New Roman"/>
            <w:kern w:val="0"/>
            <w:sz w:val="24"/>
            <w:lang w:eastAsia="en-US"/>
          </w:rPr>
          <w:t>Identity, overconfidence, and investment d</w:t>
        </w:r>
        <w:r w:rsidRPr="00240E6E">
          <w:rPr>
            <w:rFonts w:ascii="Times New Roman" w:eastAsia="Calibri" w:hAnsi="Times New Roman" w:cs="Times New Roman"/>
            <w:kern w:val="0"/>
            <w:sz w:val="24"/>
            <w:lang w:eastAsia="en-US"/>
          </w:rPr>
          <w:t>ecisions</w:t>
        </w:r>
      </w:hyperlink>
      <w:r w:rsidRPr="00240E6E">
        <w:rPr>
          <w:rFonts w:ascii="Times New Roman" w:eastAsia="Calibri" w:hAnsi="Times New Roman" w:cs="Times New Roman"/>
          <w:kern w:val="0"/>
          <w:sz w:val="24"/>
          <w:lang w:eastAsia="en-US"/>
        </w:rPr>
        <w:t xml:space="preserve">. </w:t>
      </w:r>
      <w:r w:rsidR="00393D34" w:rsidRPr="00393D34">
        <w:rPr>
          <w:rFonts w:ascii="Times New Roman" w:eastAsia="Calibri" w:hAnsi="Times New Roman" w:cs="Times New Roman"/>
          <w:i/>
          <w:kern w:val="0"/>
          <w:sz w:val="24"/>
          <w:lang w:eastAsia="en-US"/>
        </w:rPr>
        <w:t>Social Science Research Network</w:t>
      </w:r>
      <w:r w:rsidR="00393D34">
        <w:rPr>
          <w:rFonts w:ascii="Times New Roman" w:eastAsia="Calibri" w:hAnsi="Times New Roman" w:cs="Times New Roman"/>
          <w:i/>
          <w:kern w:val="0"/>
          <w:sz w:val="24"/>
          <w:lang w:eastAsia="en-US"/>
        </w:rPr>
        <w:t xml:space="preserve">. </w:t>
      </w:r>
      <w:r w:rsidRPr="00240E6E">
        <w:rPr>
          <w:rFonts w:ascii="Times New Roman" w:eastAsia="Calibri" w:hAnsi="Times New Roman" w:cs="Times New Roman"/>
          <w:kern w:val="0"/>
          <w:sz w:val="24"/>
          <w:lang w:eastAsia="en-US"/>
        </w:rPr>
        <w:t xml:space="preserve">Retrieved from </w:t>
      </w:r>
      <w:hyperlink r:id="rId24" w:history="1">
        <w:r w:rsidRPr="00240E6E">
          <w:rPr>
            <w:rFonts w:ascii="Times New Roman" w:eastAsia="Times New Roman" w:hAnsi="Times New Roman" w:cs="Times New Roman"/>
            <w:color w:val="0000FF"/>
            <w:sz w:val="24"/>
            <w:u w:val="single"/>
          </w:rPr>
          <w:t>https://www.terpconnect.umd.edu/afs/glue.umd.edu/home/glue/f/d/fdacunto/pub/papers/DAcunto_Identity_July2015.pdf</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Dave, C., Eckel, C., Johnson, C., &amp; Rojas, C (2010). Eliciting risk preferences: When is simple better</w:t>
      </w:r>
      <w:r w:rsidRPr="00240E6E">
        <w:rPr>
          <w:rFonts w:ascii="Times New Roman" w:eastAsia="Calibri" w:hAnsi="Times New Roman" w:cs="Times New Roman"/>
          <w:i/>
          <w:kern w:val="0"/>
          <w:sz w:val="24"/>
          <w:lang w:eastAsia="en-US"/>
        </w:rPr>
        <w:t>? Journal of Risk and Uncertainty, 41(3):</w:t>
      </w:r>
      <w:r w:rsidRPr="00240E6E">
        <w:rPr>
          <w:rFonts w:ascii="Times New Roman" w:eastAsia="Calibri" w:hAnsi="Times New Roman" w:cs="Times New Roman"/>
          <w:kern w:val="0"/>
          <w:sz w:val="24"/>
          <w:lang w:eastAsia="en-US"/>
        </w:rPr>
        <w:t xml:space="preserve"> 219–243.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Deck, C., Lee, J., Reyes, J., &amp; Rosen, C. (2012). Risk-taking behavior: An experimental analysis of individuals and dyads. </w:t>
      </w:r>
      <w:r w:rsidRPr="00240E6E">
        <w:rPr>
          <w:rFonts w:ascii="Times New Roman" w:eastAsia="Calibri" w:hAnsi="Times New Roman" w:cs="Times New Roman"/>
          <w:i/>
          <w:kern w:val="0"/>
          <w:sz w:val="24"/>
          <w:lang w:eastAsia="en-US"/>
        </w:rPr>
        <w:t>Southern Economic Journal, 79(2):</w:t>
      </w:r>
      <w:r w:rsidRPr="00240E6E">
        <w:rPr>
          <w:rFonts w:ascii="Times New Roman" w:eastAsia="Calibri" w:hAnsi="Times New Roman" w:cs="Times New Roman"/>
          <w:kern w:val="0"/>
          <w:sz w:val="24"/>
          <w:lang w:eastAsia="en-US"/>
        </w:rPr>
        <w:t xml:space="preserve"> 277–299.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Delnoij, J. (2013). To bid or to buy? Heterogeneous bidders’ preferences over auction mechanisms, unpublished, presented at IMEBE conference.</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Dickinson, D. (2009). The effects of beliefs versus risk attitude on bargaining outcomes. </w:t>
      </w:r>
      <w:r w:rsidRPr="00240E6E">
        <w:rPr>
          <w:rFonts w:ascii="Times New Roman" w:eastAsia="Calibri" w:hAnsi="Times New Roman" w:cs="Times New Roman"/>
          <w:i/>
          <w:kern w:val="0"/>
          <w:sz w:val="24"/>
          <w:lang w:eastAsia="en-US"/>
        </w:rPr>
        <w:t>Theory and Decision, 66:</w:t>
      </w:r>
      <w:r w:rsidRPr="00240E6E">
        <w:rPr>
          <w:rFonts w:ascii="Times New Roman" w:eastAsia="Calibri" w:hAnsi="Times New Roman" w:cs="Times New Roman"/>
          <w:kern w:val="0"/>
          <w:sz w:val="24"/>
          <w:lang w:eastAsia="en-US"/>
        </w:rPr>
        <w:t xml:space="preserve"> 69–101.</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Dohmen, T., Falk, A., Huffman, D., Sunde, U., Schupp, J., and Wagner, G.G. (2010). Individual risk attitudes: new evidence from a large, representative, experimentally-validated survey. </w:t>
      </w:r>
      <w:r w:rsidRPr="00240E6E">
        <w:rPr>
          <w:rFonts w:ascii="Times New Roman" w:eastAsia="Calibri" w:hAnsi="Times New Roman" w:cs="Times New Roman"/>
          <w:i/>
          <w:kern w:val="0"/>
          <w:sz w:val="24"/>
          <w:lang w:eastAsia="en-US"/>
        </w:rPr>
        <w:t>Journal of the European Economic Association, 9(3):</w:t>
      </w:r>
      <w:r w:rsidRPr="00240E6E">
        <w:rPr>
          <w:rFonts w:ascii="Times New Roman" w:eastAsia="Calibri" w:hAnsi="Times New Roman" w:cs="Times New Roman"/>
          <w:kern w:val="0"/>
          <w:sz w:val="24"/>
          <w:lang w:eastAsia="en-US"/>
        </w:rPr>
        <w:t xml:space="preserve"> 522-550.</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Drichoutis, A. C., &amp; Nayga, R. M. (2015). Do risk and time preferences have biological roots? </w:t>
      </w:r>
      <w:r w:rsidRPr="00240E6E">
        <w:rPr>
          <w:rFonts w:ascii="Times New Roman" w:eastAsia="Calibri" w:hAnsi="Times New Roman" w:cs="Times New Roman"/>
          <w:i/>
          <w:kern w:val="0"/>
          <w:sz w:val="24"/>
          <w:lang w:eastAsia="en-US"/>
        </w:rPr>
        <w:t xml:space="preserve">Southern Economic Journal, 82(1): </w:t>
      </w:r>
      <w:r w:rsidRPr="00240E6E">
        <w:rPr>
          <w:rFonts w:ascii="Times New Roman" w:eastAsia="Calibri" w:hAnsi="Times New Roman" w:cs="Times New Roman"/>
          <w:kern w:val="0"/>
          <w:sz w:val="24"/>
          <w:lang w:eastAsia="en-US"/>
        </w:rPr>
        <w:t>235-256.</w:t>
      </w:r>
    </w:p>
    <w:p w:rsidR="00393D34" w:rsidRPr="00240E6E" w:rsidRDefault="00393D34" w:rsidP="00393D34">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Eckel, C.,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Grossman, P. (2002). Sex differences and statistical stereotyping in attitudes toward financial risk. </w:t>
      </w:r>
      <w:r w:rsidRPr="00240E6E">
        <w:rPr>
          <w:rFonts w:ascii="Times New Roman" w:eastAsia="Calibri" w:hAnsi="Times New Roman" w:cs="Times New Roman"/>
          <w:i/>
          <w:kern w:val="0"/>
          <w:sz w:val="24"/>
          <w:lang w:eastAsia="en-US"/>
        </w:rPr>
        <w:t xml:space="preserve">Evolution and Human Behavior, 23(4): </w:t>
      </w:r>
      <w:r w:rsidRPr="00240E6E">
        <w:rPr>
          <w:rFonts w:ascii="Times New Roman" w:eastAsia="Calibri" w:hAnsi="Times New Roman" w:cs="Times New Roman"/>
          <w:kern w:val="0"/>
          <w:sz w:val="24"/>
          <w:lang w:eastAsia="en-US"/>
        </w:rPr>
        <w:t>281-295.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Eckel, C., &amp; Wilson, R. (2006). Internet cautions: Experimental games with internet partners. </w:t>
      </w:r>
      <w:r w:rsidRPr="00240E6E">
        <w:rPr>
          <w:rFonts w:ascii="Times New Roman" w:eastAsia="Calibri" w:hAnsi="Times New Roman" w:cs="Times New Roman"/>
          <w:i/>
          <w:kern w:val="0"/>
          <w:sz w:val="24"/>
          <w:lang w:eastAsia="en-US"/>
        </w:rPr>
        <w:t>Experimental Economics, 9:</w:t>
      </w:r>
      <w:r w:rsidRPr="00240E6E">
        <w:rPr>
          <w:rFonts w:ascii="Times New Roman" w:eastAsia="Calibri" w:hAnsi="Times New Roman" w:cs="Times New Roman"/>
          <w:kern w:val="0"/>
          <w:sz w:val="24"/>
          <w:lang w:eastAsia="en-US"/>
        </w:rPr>
        <w:t xml:space="preserve"> 53–66.</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Edwards, A. (2015). It’s a man’s world: The effect of traditional masculinity on gender equality. </w:t>
      </w:r>
      <w:r w:rsidRPr="00240E6E">
        <w:rPr>
          <w:rFonts w:ascii="Times New Roman" w:eastAsia="Calibri" w:hAnsi="Times New Roman" w:cs="Times New Roman"/>
          <w:i/>
          <w:kern w:val="0"/>
          <w:sz w:val="24"/>
          <w:lang w:eastAsia="en-US"/>
        </w:rPr>
        <w:t>International Relations.</w:t>
      </w:r>
      <w:r w:rsidRPr="00240E6E">
        <w:rPr>
          <w:rFonts w:ascii="Times New Roman" w:eastAsia="Calibri" w:hAnsi="Times New Roman" w:cs="Times New Roman"/>
          <w:kern w:val="0"/>
          <w:sz w:val="24"/>
          <w:lang w:eastAsia="en-US"/>
        </w:rPr>
        <w:t xml:space="preserve"> Retrieved from </w:t>
      </w:r>
      <w:hyperlink r:id="rId25" w:history="1">
        <w:r w:rsidRPr="00240E6E">
          <w:rPr>
            <w:rFonts w:ascii="Times New Roman" w:eastAsia="Times New Roman" w:hAnsi="Times New Roman" w:cs="Times New Roman"/>
            <w:color w:val="0000FF"/>
            <w:sz w:val="24"/>
            <w:u w:val="single"/>
          </w:rPr>
          <w:t>http://www.e-ir.info/2015/03/29/its-a-mans-world-the-effect-of-traditional-masculinity-on-gender-equality/comment-page-1/</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England, G. W. (1967). Personal value systems of American Managers. </w:t>
      </w:r>
      <w:r w:rsidRPr="00240E6E">
        <w:rPr>
          <w:rFonts w:ascii="Times New Roman" w:eastAsia="Calibri" w:hAnsi="Times New Roman" w:cs="Times New Roman"/>
          <w:i/>
          <w:kern w:val="0"/>
          <w:sz w:val="24"/>
          <w:lang w:eastAsia="en-US"/>
        </w:rPr>
        <w:t>Academy of Management Journal, 10:</w:t>
      </w:r>
      <w:r w:rsidRPr="00240E6E">
        <w:rPr>
          <w:rFonts w:ascii="Times New Roman" w:eastAsia="Calibri" w:hAnsi="Times New Roman" w:cs="Times New Roman"/>
          <w:kern w:val="0"/>
          <w:sz w:val="24"/>
          <w:lang w:eastAsia="en-US"/>
        </w:rPr>
        <w:t xml:space="preserve"> 53-68.</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Expected years of schooling (years). </w:t>
      </w:r>
      <w:r w:rsidRPr="00240E6E">
        <w:rPr>
          <w:rFonts w:ascii="Times New Roman" w:eastAsia="Calibri" w:hAnsi="Times New Roman" w:cs="Times New Roman"/>
          <w:i/>
          <w:kern w:val="0"/>
          <w:sz w:val="24"/>
          <w:lang w:eastAsia="en-US"/>
        </w:rPr>
        <w:t>Human Development Reports.</w:t>
      </w:r>
      <w:r w:rsidRPr="00240E6E">
        <w:rPr>
          <w:rFonts w:ascii="Times New Roman" w:eastAsia="Calibri" w:hAnsi="Times New Roman" w:cs="Times New Roman"/>
          <w:kern w:val="0"/>
          <w:sz w:val="24"/>
          <w:lang w:eastAsia="en-US"/>
        </w:rPr>
        <w:t xml:space="preserve"> Retrieved from </w:t>
      </w:r>
      <w:hyperlink r:id="rId26" w:history="1">
        <w:r w:rsidRPr="00240E6E">
          <w:rPr>
            <w:rFonts w:ascii="Times New Roman" w:eastAsia="Times New Roman" w:hAnsi="Times New Roman" w:cs="Times New Roman"/>
            <w:color w:val="0000FF"/>
            <w:sz w:val="24"/>
            <w:u w:val="single"/>
          </w:rPr>
          <w:t>http://hdr.undp.org/en/content/expected-years-schooling-males-years</w:t>
        </w:r>
      </w:hyperlink>
    </w:p>
    <w:p w:rsidR="00240E6E" w:rsidRPr="00240E6E" w:rsidRDefault="00240E6E" w:rsidP="00240E6E">
      <w:pPr>
        <w:widowControl/>
        <w:spacing w:line="480" w:lineRule="auto"/>
        <w:ind w:left="720" w:hanging="720"/>
        <w:jc w:val="left"/>
        <w:rPr>
          <w:rFonts w:ascii="Calibri" w:eastAsia="Times New Roman" w:hAnsi="Calibri" w:cs="Times New Roman"/>
          <w:color w:val="0000FF"/>
          <w:sz w:val="22"/>
          <w:szCs w:val="22"/>
          <w:u w:val="single"/>
        </w:rPr>
      </w:pPr>
      <w:r w:rsidRPr="00240E6E">
        <w:rPr>
          <w:rFonts w:ascii="Times New Roman" w:eastAsia="Calibri" w:hAnsi="Times New Roman" w:cs="Times New Roman"/>
          <w:kern w:val="0"/>
          <w:sz w:val="24"/>
          <w:lang w:eastAsia="en-US"/>
        </w:rPr>
        <w:t xml:space="preserve">Fairlie, R. (2006). An extension of the Blinder-Oaxaca decomposition technique to logit and probit models. </w:t>
      </w:r>
      <w:r w:rsidRPr="00240E6E">
        <w:rPr>
          <w:rFonts w:ascii="Times New Roman" w:eastAsia="Calibri" w:hAnsi="Times New Roman" w:cs="Times New Roman"/>
          <w:i/>
          <w:kern w:val="0"/>
          <w:sz w:val="24"/>
          <w:lang w:eastAsia="en-US"/>
        </w:rPr>
        <w:t>Institute for the Study of Labor IZA Discussion Paper.</w:t>
      </w:r>
      <w:r w:rsidRPr="00240E6E">
        <w:rPr>
          <w:rFonts w:ascii="Times New Roman" w:eastAsia="Calibri" w:hAnsi="Times New Roman" w:cs="Times New Roman"/>
          <w:kern w:val="0"/>
          <w:sz w:val="24"/>
          <w:lang w:eastAsia="en-US"/>
        </w:rPr>
        <w:t xml:space="preserve"> Retrieved from </w:t>
      </w:r>
      <w:hyperlink r:id="rId27" w:history="1">
        <w:r w:rsidRPr="00240E6E">
          <w:rPr>
            <w:rFonts w:ascii="Times New Roman" w:eastAsia="Times New Roman" w:hAnsi="Times New Roman" w:cs="Times New Roman"/>
            <w:color w:val="0000FF"/>
            <w:sz w:val="24"/>
            <w:u w:val="single"/>
          </w:rPr>
          <w:t>http://ftp.iza.org/dp1917.pdf</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Fiedler, S., &amp; Glöckner, A. (2012). The dynamics of decision making in risky choice: An eye-tracking analysis. </w:t>
      </w:r>
      <w:r w:rsidRPr="00240E6E">
        <w:rPr>
          <w:rFonts w:ascii="Times New Roman" w:eastAsia="Calibri" w:hAnsi="Times New Roman" w:cs="Times New Roman"/>
          <w:i/>
          <w:kern w:val="0"/>
          <w:sz w:val="24"/>
          <w:lang w:eastAsia="en-US"/>
        </w:rPr>
        <w:t xml:space="preserve">Frontiers in Psychology, 3(335): </w:t>
      </w:r>
      <w:r w:rsidRPr="00240E6E">
        <w:rPr>
          <w:rFonts w:ascii="Times New Roman" w:eastAsia="Calibri" w:hAnsi="Times New Roman" w:cs="Times New Roman"/>
          <w:kern w:val="0"/>
          <w:sz w:val="24"/>
          <w:lang w:eastAsia="en-US"/>
        </w:rPr>
        <w:t xml:space="preserve">1-18.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Filippin, A.,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Crosetto, P. (2016). A reconsideration of gender differences in risk attitudes. </w:t>
      </w:r>
      <w:r w:rsidRPr="00240E6E">
        <w:rPr>
          <w:rFonts w:ascii="Times New Roman" w:eastAsia="Calibri" w:hAnsi="Times New Roman" w:cs="Times New Roman"/>
          <w:i/>
          <w:iCs/>
          <w:kern w:val="0"/>
          <w:sz w:val="24"/>
          <w:lang w:eastAsia="en-US"/>
        </w:rPr>
        <w:t>Management science, 11:</w:t>
      </w:r>
      <w:r w:rsidRPr="00240E6E">
        <w:rPr>
          <w:rFonts w:ascii="Times New Roman" w:eastAsia="Calibri" w:hAnsi="Times New Roman" w:cs="Times New Roman"/>
          <w:kern w:val="0"/>
          <w:sz w:val="24"/>
          <w:lang w:eastAsia="en-US"/>
        </w:rPr>
        <w:t xml:space="preserve"> 3138-3160.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Fiore, S. M., Harrison, G. W., Hughes, C. E., &amp; Rutström, E. E. (2009). Virtual experiments and environmental policy. </w:t>
      </w:r>
      <w:r w:rsidRPr="00240E6E">
        <w:rPr>
          <w:rFonts w:ascii="Times New Roman" w:eastAsia="Calibri" w:hAnsi="Times New Roman" w:cs="Times New Roman"/>
          <w:i/>
          <w:kern w:val="0"/>
          <w:sz w:val="24"/>
          <w:lang w:eastAsia="en-US"/>
        </w:rPr>
        <w:t>Journal of Environmental Economics and Management, 57(1):</w:t>
      </w:r>
      <w:r w:rsidRPr="00240E6E">
        <w:rPr>
          <w:rFonts w:ascii="Times New Roman" w:eastAsia="Calibri" w:hAnsi="Times New Roman" w:cs="Times New Roman"/>
          <w:kern w:val="0"/>
          <w:sz w:val="24"/>
          <w:lang w:eastAsia="en-US"/>
        </w:rPr>
        <w:t xml:space="preserve"> 65 – 86.</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Fleming, P.J., Lee, J.G., &amp; Dworkin, S.L. (2014). "Real men don't": Constructions of masculinity and inadvertent harm in public health interventions. </w:t>
      </w:r>
      <w:r w:rsidRPr="00240E6E">
        <w:rPr>
          <w:rFonts w:ascii="Times New Roman" w:eastAsia="Calibri" w:hAnsi="Times New Roman" w:cs="Times New Roman"/>
          <w:i/>
          <w:kern w:val="0"/>
          <w:sz w:val="24"/>
          <w:lang w:eastAsia="en-US"/>
        </w:rPr>
        <w:t xml:space="preserve">American Journal of Public Health, 104(6): </w:t>
      </w:r>
      <w:r w:rsidRPr="00240E6E">
        <w:rPr>
          <w:rFonts w:ascii="Times New Roman" w:eastAsia="Calibri" w:hAnsi="Times New Roman" w:cs="Times New Roman"/>
          <w:kern w:val="0"/>
          <w:sz w:val="24"/>
          <w:lang w:eastAsia="en-US"/>
        </w:rPr>
        <w:t xml:space="preserve">1029-1035.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Glöckner, A., &amp; Hilbig, B. (2012). Risk is relative: Risk aversion yields cooperation rather than defection in cooperation-friendly environments. </w:t>
      </w:r>
      <w:r w:rsidRPr="00240E6E">
        <w:rPr>
          <w:rFonts w:ascii="Times New Roman" w:eastAsia="Calibri" w:hAnsi="Times New Roman" w:cs="Times New Roman"/>
          <w:i/>
          <w:kern w:val="0"/>
          <w:sz w:val="24"/>
          <w:lang w:eastAsia="en-US"/>
        </w:rPr>
        <w:t>Psychonomic Bulletin &amp; Review, 19(3):</w:t>
      </w:r>
      <w:r w:rsidRPr="00240E6E">
        <w:rPr>
          <w:rFonts w:ascii="Times New Roman" w:eastAsia="Calibri" w:hAnsi="Times New Roman" w:cs="Times New Roman"/>
          <w:kern w:val="0"/>
          <w:sz w:val="24"/>
          <w:lang w:eastAsia="en-US"/>
        </w:rPr>
        <w:t xml:space="preserve"> 546–553.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Gneezy, U.,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Potters, J. (1997). An experiment on risk taking and evaluation periods. </w:t>
      </w:r>
      <w:r w:rsidRPr="00240E6E">
        <w:rPr>
          <w:rFonts w:ascii="Times New Roman" w:eastAsia="Calibri" w:hAnsi="Times New Roman" w:cs="Times New Roman"/>
          <w:i/>
          <w:iCs/>
          <w:kern w:val="0"/>
          <w:sz w:val="24"/>
          <w:lang w:eastAsia="en-US"/>
        </w:rPr>
        <w:t xml:space="preserve">The Quarterly Journal of Economics 112(2): </w:t>
      </w:r>
      <w:r w:rsidRPr="00240E6E">
        <w:rPr>
          <w:rFonts w:ascii="Times New Roman" w:eastAsia="Calibri" w:hAnsi="Times New Roman" w:cs="Times New Roman"/>
          <w:kern w:val="0"/>
          <w:sz w:val="24"/>
          <w:lang w:eastAsia="en-US"/>
        </w:rPr>
        <w:t>631–645.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Gong, B., &amp; Yang, C.L. (2012). Gender differences in risk attitudes: Field experiments on the matrilineal Mosuo and the patriarchal Yi. </w:t>
      </w:r>
      <w:r w:rsidRPr="00240E6E">
        <w:rPr>
          <w:rFonts w:ascii="Times New Roman" w:eastAsia="Calibri" w:hAnsi="Times New Roman" w:cs="Times New Roman"/>
          <w:i/>
          <w:kern w:val="0"/>
          <w:sz w:val="24"/>
          <w:lang w:eastAsia="en-US"/>
        </w:rPr>
        <w:t>Journal of Economic Behavior &amp; Organization, 83:</w:t>
      </w:r>
      <w:r w:rsidRPr="00240E6E">
        <w:rPr>
          <w:rFonts w:ascii="Times New Roman" w:eastAsia="Calibri" w:hAnsi="Times New Roman" w:cs="Times New Roman"/>
          <w:kern w:val="0"/>
          <w:sz w:val="24"/>
          <w:lang w:eastAsia="en-US"/>
        </w:rPr>
        <w:t xml:space="preserve"> 59-65.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Gray, J. (1992). </w:t>
      </w:r>
      <w:r w:rsidRPr="00240E6E">
        <w:rPr>
          <w:rFonts w:ascii="Times New Roman" w:eastAsia="Calibri" w:hAnsi="Times New Roman" w:cs="Times New Roman"/>
          <w:i/>
          <w:kern w:val="0"/>
          <w:sz w:val="24"/>
          <w:lang w:eastAsia="en-US"/>
        </w:rPr>
        <w:t>Men are from Mars, Women are from Venus: a Practical Guide for Improving Communication and Getting What You Want in a Relationship</w:t>
      </w:r>
      <w:r w:rsidRPr="00240E6E">
        <w:rPr>
          <w:rFonts w:ascii="Times New Roman" w:eastAsia="Calibri" w:hAnsi="Times New Roman" w:cs="Times New Roman"/>
          <w:kern w:val="0"/>
          <w:sz w:val="24"/>
          <w:lang w:eastAsia="en-US"/>
        </w:rPr>
        <w:t>: HarperCollins, New York.</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Harris, C. R., Jenkins, M., </w:t>
      </w:r>
      <w:r w:rsidR="00393D34">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Glaser, D. (2006). Gender differences in risk assessment: Why do women take fewer risks than men? </w:t>
      </w:r>
      <w:r w:rsidRPr="00240E6E">
        <w:rPr>
          <w:rFonts w:ascii="Times New Roman" w:eastAsia="Calibri" w:hAnsi="Times New Roman" w:cs="Times New Roman"/>
          <w:i/>
          <w:iCs/>
          <w:kern w:val="0"/>
          <w:sz w:val="24"/>
          <w:lang w:eastAsia="en-US"/>
        </w:rPr>
        <w:t>Judgment and Decision Making, 1:</w:t>
      </w:r>
      <w:r w:rsidRPr="00240E6E">
        <w:rPr>
          <w:rFonts w:ascii="Times New Roman" w:eastAsia="Calibri" w:hAnsi="Times New Roman" w:cs="Times New Roman"/>
          <w:kern w:val="0"/>
          <w:sz w:val="24"/>
          <w:lang w:eastAsia="en-US"/>
        </w:rPr>
        <w:t xml:space="preserve"> 48-63.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Harrison, G. W., Lau, M. I., Rutstrom, E. E., &amp; Tarazona-Gomez, M. (2013). Preferences over social risk. </w:t>
      </w:r>
      <w:r w:rsidRPr="00240E6E">
        <w:rPr>
          <w:rFonts w:ascii="Times New Roman" w:eastAsia="Calibri" w:hAnsi="Times New Roman" w:cs="Times New Roman"/>
          <w:i/>
          <w:kern w:val="0"/>
          <w:sz w:val="24"/>
          <w:lang w:eastAsia="en-US"/>
        </w:rPr>
        <w:t xml:space="preserve">Oxford Economic Papers, 65(1): </w:t>
      </w:r>
      <w:r w:rsidRPr="00240E6E">
        <w:rPr>
          <w:rFonts w:ascii="Times New Roman" w:eastAsia="Calibri" w:hAnsi="Times New Roman" w:cs="Times New Roman"/>
          <w:kern w:val="0"/>
          <w:sz w:val="24"/>
          <w:lang w:eastAsia="en-US"/>
        </w:rPr>
        <w:t>25–46.</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Harrison, G. W., List, J. A., &amp; Towe, C. (2007). Naturally occurring preferences and exogenous laboratory experiments: A case study of risk aversion. </w:t>
      </w:r>
      <w:r w:rsidRPr="00240E6E">
        <w:rPr>
          <w:rFonts w:ascii="Times New Roman" w:eastAsia="Calibri" w:hAnsi="Times New Roman" w:cs="Times New Roman"/>
          <w:i/>
          <w:kern w:val="0"/>
          <w:sz w:val="24"/>
          <w:lang w:eastAsia="en-US"/>
        </w:rPr>
        <w:t>Econometrica, 75(2):</w:t>
      </w:r>
      <w:r w:rsidRPr="00240E6E">
        <w:rPr>
          <w:rFonts w:ascii="Times New Roman" w:eastAsia="Calibri" w:hAnsi="Times New Roman" w:cs="Times New Roman"/>
          <w:kern w:val="0"/>
          <w:sz w:val="24"/>
          <w:lang w:eastAsia="en-US"/>
        </w:rPr>
        <w:t xml:space="preserve"> 433–458.</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Holt, C.,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Laury, S. (2002). Risk aversion and incentive effects. </w:t>
      </w:r>
      <w:r w:rsidRPr="00240E6E">
        <w:rPr>
          <w:rFonts w:ascii="Times New Roman" w:eastAsia="Calibri" w:hAnsi="Times New Roman" w:cs="Times New Roman"/>
          <w:i/>
          <w:iCs/>
          <w:kern w:val="0"/>
          <w:sz w:val="24"/>
          <w:lang w:eastAsia="en-US"/>
        </w:rPr>
        <w:t xml:space="preserve">American Economic Review 92 (5): </w:t>
      </w:r>
      <w:r w:rsidRPr="00240E6E">
        <w:rPr>
          <w:rFonts w:ascii="Times New Roman" w:eastAsia="Calibri" w:hAnsi="Times New Roman" w:cs="Times New Roman"/>
          <w:kern w:val="0"/>
          <w:sz w:val="24"/>
          <w:lang w:eastAsia="en-US"/>
        </w:rPr>
        <w:t>1644–1655.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Hofstede, G. (1980). Culture's consequences: International differences in work-related values. </w:t>
      </w:r>
      <w:r w:rsidRPr="00240E6E">
        <w:rPr>
          <w:rFonts w:ascii="Times New Roman" w:eastAsia="Calibri" w:hAnsi="Times New Roman" w:cs="Times New Roman"/>
          <w:i/>
          <w:kern w:val="0"/>
          <w:sz w:val="24"/>
          <w:lang w:eastAsia="en-US"/>
        </w:rPr>
        <w:t>Administrative Science Quarterly. Johnson Graduate School of Management, Cornell University. 28(4):</w:t>
      </w:r>
      <w:r w:rsidRPr="00240E6E">
        <w:rPr>
          <w:rFonts w:ascii="Times New Roman" w:eastAsia="Calibri" w:hAnsi="Times New Roman" w:cs="Times New Roman"/>
          <w:kern w:val="0"/>
          <w:sz w:val="24"/>
          <w:lang w:eastAsia="en-US"/>
        </w:rPr>
        <w:t xml:space="preserve"> 625–629.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Hofstede, G. (2001). </w:t>
      </w:r>
      <w:r w:rsidRPr="00240E6E">
        <w:rPr>
          <w:rFonts w:ascii="Times New Roman" w:eastAsia="Calibri" w:hAnsi="Times New Roman" w:cs="Times New Roman"/>
          <w:i/>
          <w:kern w:val="0"/>
          <w:sz w:val="24"/>
          <w:lang w:eastAsia="en-US"/>
        </w:rPr>
        <w:t xml:space="preserve">Culture's Consequences: Comparing Values, Behaviors, Institutions and Organizations across Nations. </w:t>
      </w:r>
      <w:r w:rsidRPr="00240E6E">
        <w:rPr>
          <w:rFonts w:ascii="Times New Roman" w:eastAsia="Calibri" w:hAnsi="Times New Roman" w:cs="Times New Roman"/>
          <w:kern w:val="0"/>
          <w:sz w:val="24"/>
          <w:lang w:eastAsia="en-US"/>
        </w:rPr>
        <w:t xml:space="preserve">Thousand Oaks, CA: Sage (co-published in the PRC as Vol. 10 in the Shanghai Foreign Language Education Press SFLEP Intercultural Communication Reference Series, 2008)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Hofstede, G. (2011). Dimensionalizing cultures: The Hofstede model in c</w:t>
      </w:r>
      <w:r w:rsidR="00393D34">
        <w:rPr>
          <w:rFonts w:ascii="Times New Roman" w:eastAsia="Calibri" w:hAnsi="Times New Roman" w:cs="Times New Roman"/>
          <w:kern w:val="0"/>
          <w:sz w:val="24"/>
          <w:lang w:eastAsia="en-US"/>
        </w:rPr>
        <w:t>ontext. Unit 2 theoretical and methodological issues s</w:t>
      </w:r>
      <w:r w:rsidRPr="00240E6E">
        <w:rPr>
          <w:rFonts w:ascii="Times New Roman" w:eastAsia="Calibri" w:hAnsi="Times New Roman" w:cs="Times New Roman"/>
          <w:kern w:val="0"/>
          <w:sz w:val="24"/>
          <w:lang w:eastAsia="en-US"/>
        </w:rPr>
        <w:t>ubunit 1</w:t>
      </w:r>
      <w:r w:rsidR="00393D34">
        <w:rPr>
          <w:rFonts w:ascii="Times New Roman" w:eastAsia="Calibri" w:hAnsi="Times New Roman" w:cs="Times New Roman"/>
          <w:kern w:val="0"/>
          <w:sz w:val="24"/>
          <w:lang w:eastAsia="en-US"/>
        </w:rPr>
        <w:t>.</w:t>
      </w:r>
      <w:r w:rsidRPr="00240E6E">
        <w:rPr>
          <w:rFonts w:ascii="Times New Roman" w:eastAsia="Calibri" w:hAnsi="Times New Roman" w:cs="Times New Roman"/>
          <w:kern w:val="0"/>
          <w:sz w:val="24"/>
          <w:lang w:eastAsia="en-US"/>
        </w:rPr>
        <w:t xml:space="preserve"> </w:t>
      </w:r>
      <w:r w:rsidRPr="00240E6E">
        <w:rPr>
          <w:rFonts w:ascii="Times New Roman" w:eastAsia="Calibri" w:hAnsi="Times New Roman" w:cs="Times New Roman"/>
          <w:i/>
          <w:kern w:val="0"/>
          <w:sz w:val="24"/>
          <w:lang w:eastAsia="en-US"/>
        </w:rPr>
        <w:t>Conceptual Issues in Psychology and Culture.</w:t>
      </w:r>
      <w:r w:rsidRPr="00240E6E">
        <w:rPr>
          <w:rFonts w:ascii="Times New Roman" w:eastAsia="Calibri" w:hAnsi="Times New Roman" w:cs="Times New Roman"/>
          <w:kern w:val="0"/>
          <w:sz w:val="24"/>
          <w:lang w:eastAsia="en-US"/>
        </w:rPr>
        <w:t xml:space="preserve"> International Association for Cross-Cultural Psychology.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Hofstede, G., &amp; Hofstede, G.J. (2005). </w:t>
      </w:r>
      <w:r w:rsidRPr="00240E6E">
        <w:rPr>
          <w:rFonts w:ascii="Times New Roman" w:eastAsia="Calibri" w:hAnsi="Times New Roman" w:cs="Times New Roman"/>
          <w:i/>
          <w:kern w:val="0"/>
          <w:sz w:val="24"/>
          <w:lang w:eastAsia="en-US"/>
        </w:rPr>
        <w:t>Cultures and Organizations: Software of the Mind.</w:t>
      </w:r>
      <w:r w:rsidRPr="00240E6E">
        <w:rPr>
          <w:rFonts w:ascii="Times New Roman" w:eastAsia="Calibri" w:hAnsi="Times New Roman" w:cs="Times New Roman"/>
          <w:kern w:val="0"/>
          <w:sz w:val="24"/>
          <w:lang w:eastAsia="en-US"/>
        </w:rPr>
        <w:t xml:space="preserve"> New York: McGraw-Hill USA.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Hofstede, G., Hofstede, G.J., &amp; Minkov, M. (2010). </w:t>
      </w:r>
      <w:r w:rsidRPr="00240E6E">
        <w:rPr>
          <w:rFonts w:ascii="Times New Roman" w:eastAsia="Calibri" w:hAnsi="Times New Roman" w:cs="Times New Roman"/>
          <w:i/>
          <w:kern w:val="0"/>
          <w:sz w:val="24"/>
          <w:lang w:eastAsia="en-US"/>
        </w:rPr>
        <w:t>Cultures and Organizations: Software of the Mind.</w:t>
      </w:r>
      <w:r w:rsidRPr="00240E6E">
        <w:rPr>
          <w:rFonts w:ascii="Times New Roman" w:eastAsia="Calibri" w:hAnsi="Times New Roman" w:cs="Times New Roman"/>
          <w:kern w:val="0"/>
          <w:sz w:val="24"/>
          <w:lang w:eastAsia="en-US"/>
        </w:rPr>
        <w:t xml:space="preserve"> 3rd Edition. New York: McGraw-Hill USA. </w:t>
      </w:r>
    </w:p>
    <w:p w:rsidR="00240E6E" w:rsidRPr="00240E6E" w:rsidRDefault="00A22319"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 xml:space="preserve">Hsee, C. K., &amp; </w:t>
      </w:r>
      <w:r w:rsidR="00240E6E" w:rsidRPr="00240E6E">
        <w:rPr>
          <w:rFonts w:ascii="Times New Roman" w:eastAsia="Calibri" w:hAnsi="Times New Roman" w:cs="Times New Roman"/>
          <w:kern w:val="0"/>
          <w:sz w:val="24"/>
          <w:lang w:eastAsia="en-US"/>
        </w:rPr>
        <w:t xml:space="preserve">Weber, E. U. (1999). Cross-national differences in risk preferences and lay predictions for the differences. </w:t>
      </w:r>
      <w:r w:rsidR="00240E6E" w:rsidRPr="00240E6E">
        <w:rPr>
          <w:rFonts w:ascii="Times New Roman" w:eastAsia="Calibri" w:hAnsi="Times New Roman" w:cs="Times New Roman"/>
          <w:i/>
          <w:iCs/>
          <w:kern w:val="0"/>
          <w:sz w:val="24"/>
          <w:lang w:eastAsia="en-US"/>
        </w:rPr>
        <w:t>Journal of Behavioral Decision Making, 12:</w:t>
      </w:r>
      <w:r w:rsidR="00240E6E" w:rsidRPr="00240E6E">
        <w:rPr>
          <w:rFonts w:ascii="Times New Roman" w:eastAsia="Calibri" w:hAnsi="Times New Roman" w:cs="Times New Roman"/>
          <w:kern w:val="0"/>
          <w:sz w:val="24"/>
          <w:lang w:eastAsia="en-US"/>
        </w:rPr>
        <w:t xml:space="preserve"> 165-179.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Infanger, G. (2006). Dynamic asset allocation strategies using a stochastic dynamic programming approach. In S.A. Zenios, &amp; W.T. Ziemba (Eds.), </w:t>
      </w:r>
      <w:r w:rsidRPr="00240E6E">
        <w:rPr>
          <w:rFonts w:ascii="Times New Roman" w:eastAsia="Calibri" w:hAnsi="Times New Roman" w:cs="Times New Roman"/>
          <w:i/>
          <w:kern w:val="0"/>
          <w:sz w:val="24"/>
          <w:lang w:eastAsia="en-US"/>
        </w:rPr>
        <w:t>Handbook of Asset and Liability Management: Theory and Methodology (199 - 257):</w:t>
      </w:r>
      <w:r w:rsidRPr="00240E6E">
        <w:rPr>
          <w:rFonts w:ascii="Times New Roman" w:eastAsia="Calibri" w:hAnsi="Times New Roman" w:cs="Times New Roman"/>
          <w:kern w:val="0"/>
          <w:sz w:val="24"/>
          <w:lang w:eastAsia="en-US"/>
        </w:rPr>
        <w:t xml:space="preserve"> Elsevier.</w:t>
      </w:r>
    </w:p>
    <w:p w:rsidR="00240E6E" w:rsidRPr="00240E6E" w:rsidRDefault="00393D34"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Jacquemet, N., Rullière, J.</w:t>
      </w:r>
      <w:r w:rsidR="00240E6E" w:rsidRPr="00240E6E">
        <w:rPr>
          <w:rFonts w:ascii="Times New Roman" w:eastAsia="Calibri" w:hAnsi="Times New Roman" w:cs="Times New Roman"/>
          <w:kern w:val="0"/>
          <w:sz w:val="24"/>
          <w:lang w:eastAsia="en-US"/>
        </w:rPr>
        <w:t xml:space="preserve">L., &amp; Vialle, I. (2008). Monitoring optimistic agents. </w:t>
      </w:r>
      <w:r w:rsidR="00240E6E" w:rsidRPr="00240E6E">
        <w:rPr>
          <w:rFonts w:ascii="Times New Roman" w:eastAsia="Calibri" w:hAnsi="Times New Roman" w:cs="Times New Roman"/>
          <w:i/>
          <w:kern w:val="0"/>
          <w:sz w:val="24"/>
          <w:lang w:eastAsia="en-US"/>
        </w:rPr>
        <w:t>Journal of Economic Psychology, 29(5):</w:t>
      </w:r>
      <w:r w:rsidR="00240E6E" w:rsidRPr="00240E6E">
        <w:rPr>
          <w:rFonts w:ascii="Times New Roman" w:eastAsia="Calibri" w:hAnsi="Times New Roman" w:cs="Times New Roman"/>
          <w:kern w:val="0"/>
          <w:sz w:val="24"/>
          <w:lang w:eastAsia="en-US"/>
        </w:rPr>
        <w:t xml:space="preserve"> 698 – 714.</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Jamison, J., Karlan, D., &amp; Schechter, L. (2008). To deceive or not to deceive: The effect of deception on behavior in future laboratory experiments. </w:t>
      </w:r>
      <w:r w:rsidRPr="00240E6E">
        <w:rPr>
          <w:rFonts w:ascii="Times New Roman" w:eastAsia="Calibri" w:hAnsi="Times New Roman" w:cs="Times New Roman"/>
          <w:i/>
          <w:kern w:val="0"/>
          <w:sz w:val="24"/>
          <w:lang w:eastAsia="en-US"/>
        </w:rPr>
        <w:t xml:space="preserve">Journal of Economic Behavior &amp; Organization, 68 (3-4): </w:t>
      </w:r>
      <w:r w:rsidRPr="00240E6E">
        <w:rPr>
          <w:rFonts w:ascii="Times New Roman" w:eastAsia="Calibri" w:hAnsi="Times New Roman" w:cs="Times New Roman"/>
          <w:kern w:val="0"/>
          <w:sz w:val="24"/>
          <w:lang w:eastAsia="en-US"/>
        </w:rPr>
        <w:t>477 – 488.</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Johnson, J.E.V., &amp; Powell, P.L. (1994). Decision making, risk and gender: Are managers different? </w:t>
      </w:r>
      <w:r w:rsidRPr="00240E6E">
        <w:rPr>
          <w:rFonts w:ascii="Times New Roman" w:eastAsia="Calibri" w:hAnsi="Times New Roman" w:cs="Times New Roman"/>
          <w:i/>
          <w:kern w:val="0"/>
          <w:sz w:val="24"/>
          <w:lang w:eastAsia="en-US"/>
        </w:rPr>
        <w:t xml:space="preserve">British Journal of Management, 5(2): </w:t>
      </w:r>
      <w:r w:rsidRPr="00240E6E">
        <w:rPr>
          <w:rFonts w:ascii="Times New Roman" w:eastAsia="Calibri" w:hAnsi="Times New Roman" w:cs="Times New Roman"/>
          <w:kern w:val="0"/>
          <w:sz w:val="24"/>
          <w:lang w:eastAsia="en-US"/>
        </w:rPr>
        <w:t xml:space="preserve">123-128.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Klingorova, K., &amp; Havlicek, T. (2015). Religion and gender inequality: The status of women in the societies of world religions. </w:t>
      </w:r>
      <w:r w:rsidRPr="00240E6E">
        <w:rPr>
          <w:rFonts w:ascii="Times New Roman" w:eastAsia="Calibri" w:hAnsi="Times New Roman" w:cs="Times New Roman"/>
          <w:i/>
          <w:kern w:val="0"/>
          <w:sz w:val="24"/>
          <w:lang w:eastAsia="en-US"/>
        </w:rPr>
        <w:t>Moravian Geographical Reports, 23(2):</w:t>
      </w:r>
      <w:r w:rsidRPr="00240E6E">
        <w:rPr>
          <w:rFonts w:ascii="Times New Roman" w:eastAsia="Calibri" w:hAnsi="Times New Roman" w:cs="Times New Roman"/>
          <w:kern w:val="0"/>
          <w:sz w:val="24"/>
          <w:lang w:eastAsia="en-US"/>
        </w:rPr>
        <w:t xml:space="preserve"> 2-11. </w:t>
      </w:r>
    </w:p>
    <w:p w:rsidR="00240E6E" w:rsidRPr="00240E6E" w:rsidRDefault="00A22319" w:rsidP="00240E6E">
      <w:pPr>
        <w:widowControl/>
        <w:spacing w:line="480" w:lineRule="auto"/>
        <w:ind w:left="720" w:hanging="720"/>
        <w:jc w:val="left"/>
        <w:rPr>
          <w:rFonts w:ascii="Times New Roman" w:eastAsia="Calibri" w:hAnsi="Times New Roman" w:cs="Times New Roman"/>
          <w:i/>
          <w:kern w:val="0"/>
          <w:sz w:val="24"/>
          <w:lang w:eastAsia="en-US"/>
        </w:rPr>
      </w:pPr>
      <w:r>
        <w:rPr>
          <w:rFonts w:ascii="Times New Roman" w:eastAsia="Calibri" w:hAnsi="Times New Roman" w:cs="Times New Roman"/>
          <w:kern w:val="0"/>
          <w:sz w:val="24"/>
          <w:lang w:eastAsia="en-US"/>
        </w:rPr>
        <w:t>Kocher, M.G., Pahlke, J., &amp; Trautmann, S.T. (2011). Tempus fugit: Time pressure in risky d</w:t>
      </w:r>
      <w:r w:rsidR="00240E6E" w:rsidRPr="00240E6E">
        <w:rPr>
          <w:rFonts w:ascii="Times New Roman" w:eastAsia="Calibri" w:hAnsi="Times New Roman" w:cs="Times New Roman"/>
          <w:kern w:val="0"/>
          <w:sz w:val="24"/>
          <w:lang w:eastAsia="en-US"/>
        </w:rPr>
        <w:t xml:space="preserve">ecisions. </w:t>
      </w:r>
      <w:r w:rsidR="00240E6E" w:rsidRPr="00240E6E">
        <w:rPr>
          <w:rFonts w:ascii="Times New Roman" w:eastAsia="Calibri" w:hAnsi="Times New Roman" w:cs="Times New Roman"/>
          <w:i/>
          <w:kern w:val="0"/>
          <w:sz w:val="24"/>
          <w:lang w:eastAsia="en-US"/>
        </w:rPr>
        <w:t>Discussion Papers in Economics, 12221.</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Kuhn, M.H., &amp; McPartland, T.S. (1954). An empirical investigation of self-attitudes. </w:t>
      </w:r>
      <w:r w:rsidRPr="00240E6E">
        <w:rPr>
          <w:rFonts w:ascii="Times New Roman" w:eastAsia="Calibri" w:hAnsi="Times New Roman" w:cs="Times New Roman"/>
          <w:i/>
          <w:kern w:val="0"/>
          <w:sz w:val="24"/>
          <w:lang w:eastAsia="en-US"/>
        </w:rPr>
        <w:t xml:space="preserve">American Sociological Review, 19(1): </w:t>
      </w:r>
      <w:r w:rsidRPr="00240E6E">
        <w:rPr>
          <w:rFonts w:ascii="Times New Roman" w:eastAsia="Calibri" w:hAnsi="Times New Roman" w:cs="Times New Roman"/>
          <w:kern w:val="0"/>
          <w:sz w:val="24"/>
          <w:lang w:eastAsia="en-US"/>
        </w:rPr>
        <w:t xml:space="preserve">68-76.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Lange, A., List, J. A., &amp; Price, M. K. (2007a). A fundraising mechanism inspired by historical tontines: Theory and experimental evidence. </w:t>
      </w:r>
      <w:r w:rsidRPr="00240E6E">
        <w:rPr>
          <w:rFonts w:ascii="Times New Roman" w:eastAsia="Calibri" w:hAnsi="Times New Roman" w:cs="Times New Roman"/>
          <w:i/>
          <w:kern w:val="0"/>
          <w:sz w:val="24"/>
          <w:lang w:eastAsia="en-US"/>
        </w:rPr>
        <w:t>Journal of Public Economics, 91(9):</w:t>
      </w:r>
      <w:r w:rsidRPr="00240E6E">
        <w:rPr>
          <w:rFonts w:ascii="Times New Roman" w:eastAsia="Calibri" w:hAnsi="Times New Roman" w:cs="Times New Roman"/>
          <w:kern w:val="0"/>
          <w:sz w:val="24"/>
          <w:lang w:eastAsia="en-US"/>
        </w:rPr>
        <w:t xml:space="preserve"> 1750 – 1782.</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Lange, A., List, J. A., &amp; Price, M. K. (2007b). Using lotteries to finance public goods: Theory and experimental evidence. </w:t>
      </w:r>
      <w:r w:rsidRPr="00240E6E">
        <w:rPr>
          <w:rFonts w:ascii="Times New Roman" w:eastAsia="Calibri" w:hAnsi="Times New Roman" w:cs="Times New Roman"/>
          <w:i/>
          <w:kern w:val="0"/>
          <w:sz w:val="24"/>
          <w:lang w:eastAsia="en-US"/>
        </w:rPr>
        <w:t>International Economic Review, 48(3):</w:t>
      </w:r>
      <w:r w:rsidRPr="00240E6E">
        <w:rPr>
          <w:rFonts w:ascii="Times New Roman" w:eastAsia="Calibri" w:hAnsi="Times New Roman" w:cs="Times New Roman"/>
          <w:kern w:val="0"/>
          <w:sz w:val="24"/>
          <w:lang w:eastAsia="en-US"/>
        </w:rPr>
        <w:t xml:space="preserve"> 901–927.</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Levy-Garboua, L., Maafi, H., Masclet, D., &amp; Terracol, A. (2012). Risk aversion and framing effects. </w:t>
      </w:r>
      <w:r w:rsidRPr="00240E6E">
        <w:rPr>
          <w:rFonts w:ascii="Times New Roman" w:eastAsia="Calibri" w:hAnsi="Times New Roman" w:cs="Times New Roman"/>
          <w:i/>
          <w:kern w:val="0"/>
          <w:sz w:val="24"/>
          <w:lang w:eastAsia="en-US"/>
        </w:rPr>
        <w:t>Experimental Economics, 15:</w:t>
      </w:r>
      <w:r w:rsidRPr="00240E6E">
        <w:rPr>
          <w:rFonts w:ascii="Times New Roman" w:eastAsia="Calibri" w:hAnsi="Times New Roman" w:cs="Times New Roman"/>
          <w:kern w:val="0"/>
          <w:sz w:val="24"/>
          <w:lang w:eastAsia="en-US"/>
        </w:rPr>
        <w:t>128–144.</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Lusk, J. L., &amp; Coble, K. H. (2005). Risk perceptions, risk preference, and acceptance of risky food. </w:t>
      </w:r>
      <w:r w:rsidRPr="00240E6E">
        <w:rPr>
          <w:rFonts w:ascii="Times New Roman" w:eastAsia="Calibri" w:hAnsi="Times New Roman" w:cs="Times New Roman"/>
          <w:i/>
          <w:kern w:val="0"/>
          <w:sz w:val="24"/>
          <w:lang w:eastAsia="en-US"/>
        </w:rPr>
        <w:t>American Journal of Agricultural Economics, 87(2):</w:t>
      </w:r>
      <w:r w:rsidRPr="00240E6E">
        <w:rPr>
          <w:rFonts w:ascii="Times New Roman" w:eastAsia="Calibri" w:hAnsi="Times New Roman" w:cs="Times New Roman"/>
          <w:kern w:val="0"/>
          <w:sz w:val="24"/>
          <w:lang w:eastAsia="en-US"/>
        </w:rPr>
        <w:t xml:space="preserve"> 393–405.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Matsum</w:t>
      </w:r>
      <w:r w:rsidR="00A22319">
        <w:rPr>
          <w:rFonts w:ascii="Times New Roman" w:eastAsia="Calibri" w:hAnsi="Times New Roman" w:cs="Times New Roman"/>
          <w:kern w:val="0"/>
          <w:sz w:val="24"/>
          <w:lang w:eastAsia="en-US"/>
        </w:rPr>
        <w:t>oto, D., &amp; Van de Vijver, F. J.</w:t>
      </w:r>
      <w:r w:rsidRPr="00240E6E">
        <w:rPr>
          <w:rFonts w:ascii="Times New Roman" w:eastAsia="Calibri" w:hAnsi="Times New Roman" w:cs="Times New Roman"/>
          <w:kern w:val="0"/>
          <w:sz w:val="24"/>
          <w:lang w:eastAsia="en-US"/>
        </w:rPr>
        <w:t xml:space="preserve">R. (Eds.) (2011). </w:t>
      </w:r>
      <w:r w:rsidRPr="00240E6E">
        <w:rPr>
          <w:rFonts w:ascii="Times New Roman" w:eastAsia="Calibri" w:hAnsi="Times New Roman" w:cs="Times New Roman"/>
          <w:i/>
          <w:kern w:val="0"/>
          <w:sz w:val="24"/>
          <w:lang w:eastAsia="en-US"/>
        </w:rPr>
        <w:t xml:space="preserve">Cross-cultural research methods in psychology. </w:t>
      </w:r>
      <w:r w:rsidRPr="00240E6E">
        <w:rPr>
          <w:rFonts w:ascii="Times New Roman" w:eastAsia="Calibri" w:hAnsi="Times New Roman" w:cs="Times New Roman"/>
          <w:kern w:val="0"/>
          <w:sz w:val="24"/>
          <w:lang w:eastAsia="en-US"/>
        </w:rPr>
        <w:t>New York, NY: Cambridge University Press.</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Mihet, R. (2012). Effects of culture on firm risk-taking: A cross-country and cross-industry analysis. </w:t>
      </w:r>
      <w:r w:rsidRPr="00240E6E">
        <w:rPr>
          <w:rFonts w:ascii="Times New Roman" w:eastAsia="Calibri" w:hAnsi="Times New Roman" w:cs="Times New Roman"/>
          <w:i/>
          <w:kern w:val="0"/>
          <w:sz w:val="24"/>
          <w:lang w:eastAsia="en-US"/>
        </w:rPr>
        <w:t>Journal of Cultural Economics, 37(1):</w:t>
      </w:r>
      <w:r w:rsidRPr="00240E6E">
        <w:rPr>
          <w:rFonts w:ascii="Times New Roman" w:eastAsia="Calibri" w:hAnsi="Times New Roman" w:cs="Times New Roman"/>
          <w:kern w:val="0"/>
          <w:sz w:val="24"/>
          <w:lang w:eastAsia="en-US"/>
        </w:rPr>
        <w:t xml:space="preserve"> 109-151</w:t>
      </w:r>
      <w:r w:rsidR="00A22319">
        <w:rPr>
          <w:rFonts w:ascii="Times New Roman" w:eastAsia="Calibri" w:hAnsi="Times New Roman" w:cs="Times New Roman"/>
          <w:kern w:val="0"/>
          <w:sz w:val="24"/>
          <w:lang w:eastAsia="en-US"/>
        </w:rPr>
        <w:t>.</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Mislick, G.K., &amp; Nussbaum, D.A. (2015). Multi-Variable Linear Regression Analysis. </w:t>
      </w:r>
      <w:r w:rsidRPr="00240E6E">
        <w:rPr>
          <w:rFonts w:ascii="Times New Roman" w:eastAsia="Calibri" w:hAnsi="Times New Roman" w:cs="Times New Roman"/>
          <w:i/>
          <w:kern w:val="0"/>
          <w:sz w:val="24"/>
          <w:lang w:eastAsia="en-US"/>
        </w:rPr>
        <w:t xml:space="preserve">Cost Estimation: Methods and Tools (152-171): </w:t>
      </w:r>
      <w:r w:rsidRPr="00240E6E">
        <w:rPr>
          <w:rFonts w:ascii="Times New Roman" w:eastAsia="Calibri" w:hAnsi="Times New Roman" w:cs="Times New Roman"/>
          <w:kern w:val="0"/>
          <w:sz w:val="24"/>
          <w:lang w:eastAsia="en-US"/>
        </w:rPr>
        <w:t xml:space="preserve">John Wiley &amp; Sons.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Mueller, J., &amp; Schwieren, C. (2012). Can personality explain what is underlying women’s unwillingness to compete? </w:t>
      </w:r>
      <w:r w:rsidRPr="00240E6E">
        <w:rPr>
          <w:rFonts w:ascii="Times New Roman" w:eastAsia="Calibri" w:hAnsi="Times New Roman" w:cs="Times New Roman"/>
          <w:i/>
          <w:kern w:val="0"/>
          <w:sz w:val="24"/>
          <w:lang w:eastAsia="en-US"/>
        </w:rPr>
        <w:t>Journal of Economic Psychology, 33(3):</w:t>
      </w:r>
      <w:r w:rsidRPr="00240E6E">
        <w:rPr>
          <w:rFonts w:ascii="Times New Roman" w:eastAsia="Calibri" w:hAnsi="Times New Roman" w:cs="Times New Roman"/>
          <w:kern w:val="0"/>
          <w:sz w:val="24"/>
          <w:lang w:eastAsia="en-US"/>
        </w:rPr>
        <w:t xml:space="preserve"> 448 – 460.</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Nieken, P., &amp; Schmitz, P. W. (2012). Repeated moral hazard and contracts with memory: A laboratory experiment. </w:t>
      </w:r>
      <w:r w:rsidRPr="00240E6E">
        <w:rPr>
          <w:rFonts w:ascii="Times New Roman" w:eastAsia="Calibri" w:hAnsi="Times New Roman" w:cs="Times New Roman"/>
          <w:i/>
          <w:kern w:val="0"/>
          <w:sz w:val="24"/>
          <w:lang w:eastAsia="en-US"/>
        </w:rPr>
        <w:t>Games and Economic Behavior, 75(2):</w:t>
      </w:r>
      <w:r w:rsidRPr="00240E6E">
        <w:rPr>
          <w:rFonts w:ascii="Times New Roman" w:eastAsia="Calibri" w:hAnsi="Times New Roman" w:cs="Times New Roman"/>
          <w:kern w:val="0"/>
          <w:sz w:val="24"/>
          <w:lang w:eastAsia="en-US"/>
        </w:rPr>
        <w:t xml:space="preserve"> 1000 – 1008.</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Paul, A.M. (2017). Not from Venues, not from Mars: What we believe about gender and why it’s often wrong. </w:t>
      </w:r>
      <w:r w:rsidRPr="00240E6E">
        <w:rPr>
          <w:rFonts w:ascii="Times New Roman" w:eastAsia="Calibri" w:hAnsi="Times New Roman" w:cs="Times New Roman"/>
          <w:i/>
          <w:kern w:val="0"/>
          <w:sz w:val="24"/>
          <w:lang w:eastAsia="en-US"/>
        </w:rPr>
        <w:t>The New York Times.</w:t>
      </w:r>
      <w:r w:rsidRPr="00240E6E">
        <w:rPr>
          <w:rFonts w:ascii="Times New Roman" w:eastAsia="Calibri" w:hAnsi="Times New Roman" w:cs="Times New Roman"/>
          <w:kern w:val="0"/>
          <w:sz w:val="24"/>
          <w:lang w:eastAsia="en-US"/>
        </w:rPr>
        <w:t xml:space="preserve"> Retrieved from </w:t>
      </w:r>
      <w:hyperlink r:id="rId28" w:history="1">
        <w:r w:rsidRPr="00240E6E">
          <w:rPr>
            <w:rFonts w:ascii="Times New Roman" w:eastAsia="Times New Roman" w:hAnsi="Times New Roman" w:cs="Times New Roman"/>
            <w:color w:val="0000FF"/>
            <w:sz w:val="24"/>
            <w:u w:val="single"/>
          </w:rPr>
          <w:t>https://www.nytimes.com/2017/02/23/books/review/testosterone-rex-myths-of-sex-science-and-society-cordelia-fine.html?_r=1</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Peterson, V.S., &amp; Runyan, A. </w:t>
      </w:r>
      <w:r w:rsidRPr="00240E6E">
        <w:rPr>
          <w:rFonts w:ascii="Times New Roman" w:eastAsia="Calibri" w:hAnsi="Times New Roman" w:cs="Times New Roman"/>
          <w:i/>
          <w:kern w:val="0"/>
          <w:sz w:val="24"/>
          <w:lang w:eastAsia="en-US"/>
        </w:rPr>
        <w:t>Global Gender Issues (17):</w:t>
      </w:r>
      <w:r w:rsidRPr="00240E6E">
        <w:rPr>
          <w:rFonts w:ascii="Times New Roman" w:eastAsia="Calibri" w:hAnsi="Times New Roman" w:cs="Times New Roman"/>
          <w:kern w:val="0"/>
          <w:sz w:val="24"/>
          <w:lang w:eastAsia="en-US"/>
        </w:rPr>
        <w:t> Oxford: Westview Press.</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Pogrebna, G., Krantz, D., Schade, C., &amp; Keser, C. (2011). Words versus actions as a means to influence cooperation in social dilemma situations. </w:t>
      </w:r>
      <w:r w:rsidRPr="00240E6E">
        <w:rPr>
          <w:rFonts w:ascii="Times New Roman" w:eastAsia="Calibri" w:hAnsi="Times New Roman" w:cs="Times New Roman"/>
          <w:i/>
          <w:kern w:val="0"/>
          <w:sz w:val="24"/>
          <w:lang w:eastAsia="en-US"/>
        </w:rPr>
        <w:t>Theory and Decision, 71:</w:t>
      </w:r>
      <w:r w:rsidRPr="00240E6E">
        <w:rPr>
          <w:rFonts w:ascii="Times New Roman" w:eastAsia="Calibri" w:hAnsi="Times New Roman" w:cs="Times New Roman"/>
          <w:kern w:val="0"/>
          <w:sz w:val="24"/>
          <w:lang w:eastAsia="en-US"/>
        </w:rPr>
        <w:t xml:space="preserve"> 473–502.</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Pondorfer, A., Barsbai, T., &amp; Schmidt (2016). Gender differences in stereotypes of risk preferences: Experimental evidence from a matrilineal and a patrilineal society. </w:t>
      </w:r>
      <w:r w:rsidRPr="00240E6E">
        <w:rPr>
          <w:rFonts w:ascii="Times New Roman" w:eastAsia="Calibri" w:hAnsi="Times New Roman" w:cs="Times New Roman"/>
          <w:i/>
          <w:kern w:val="0"/>
          <w:sz w:val="24"/>
          <w:lang w:eastAsia="en-US"/>
        </w:rPr>
        <w:t>Management Science.</w:t>
      </w:r>
    </w:p>
    <w:p w:rsidR="00240E6E" w:rsidRPr="00240E6E" w:rsidRDefault="00A22319"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Ponti, G., &amp; Carbone, E. (</w:t>
      </w:r>
      <w:r w:rsidR="00240E6E" w:rsidRPr="00240E6E">
        <w:rPr>
          <w:rFonts w:ascii="Times New Roman" w:eastAsia="Calibri" w:hAnsi="Times New Roman" w:cs="Times New Roman"/>
          <w:kern w:val="0"/>
          <w:sz w:val="24"/>
          <w:lang w:eastAsia="en-US"/>
        </w:rPr>
        <w:t>2009</w:t>
      </w:r>
      <w:r>
        <w:rPr>
          <w:rFonts w:ascii="Times New Roman" w:eastAsia="Calibri" w:hAnsi="Times New Roman" w:cs="Times New Roman"/>
          <w:kern w:val="0"/>
          <w:sz w:val="24"/>
          <w:lang w:eastAsia="en-US"/>
        </w:rPr>
        <w:t>)</w:t>
      </w:r>
      <w:r w:rsidR="00240E6E" w:rsidRPr="00240E6E">
        <w:rPr>
          <w:rFonts w:ascii="Times New Roman" w:eastAsia="Calibri" w:hAnsi="Times New Roman" w:cs="Times New Roman"/>
          <w:kern w:val="0"/>
          <w:sz w:val="24"/>
          <w:lang w:eastAsia="en-US"/>
        </w:rPr>
        <w:t xml:space="preserve">. Positional learning with noise. </w:t>
      </w:r>
      <w:r w:rsidR="00240E6E" w:rsidRPr="00240E6E">
        <w:rPr>
          <w:rFonts w:ascii="Times New Roman" w:eastAsia="Calibri" w:hAnsi="Times New Roman" w:cs="Times New Roman"/>
          <w:i/>
          <w:kern w:val="0"/>
          <w:sz w:val="24"/>
          <w:lang w:eastAsia="en-US"/>
        </w:rPr>
        <w:t>Research in Economics, 63(4):</w:t>
      </w:r>
      <w:r w:rsidR="00240E6E" w:rsidRPr="00240E6E">
        <w:rPr>
          <w:rFonts w:ascii="Times New Roman" w:eastAsia="Calibri" w:hAnsi="Times New Roman" w:cs="Times New Roman"/>
          <w:kern w:val="0"/>
          <w:sz w:val="24"/>
          <w:lang w:eastAsia="en-US"/>
        </w:rPr>
        <w:t xml:space="preserve"> 225 – 241.</w:t>
      </w:r>
    </w:p>
    <w:p w:rsidR="00240E6E" w:rsidRPr="00240E6E" w:rsidRDefault="00A22319"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Powell, M., &amp;</w:t>
      </w:r>
      <w:r w:rsidR="00240E6E" w:rsidRPr="00240E6E">
        <w:rPr>
          <w:rFonts w:ascii="Times New Roman" w:eastAsia="Calibri" w:hAnsi="Times New Roman" w:cs="Times New Roman"/>
          <w:kern w:val="0"/>
          <w:sz w:val="24"/>
          <w:lang w:eastAsia="en-US"/>
        </w:rPr>
        <w:t xml:space="preserve"> Ansic, D. (1997). Gender differences in risk behaviour in financial decision-making: An experimental analysis. </w:t>
      </w:r>
      <w:r w:rsidR="00240E6E" w:rsidRPr="00240E6E">
        <w:rPr>
          <w:rFonts w:ascii="Times New Roman" w:eastAsia="Calibri" w:hAnsi="Times New Roman" w:cs="Times New Roman"/>
          <w:i/>
          <w:iCs/>
          <w:kern w:val="0"/>
          <w:sz w:val="24"/>
          <w:lang w:eastAsia="en-US"/>
        </w:rPr>
        <w:t>Journal of Economic Psychology, 18(6):</w:t>
      </w:r>
      <w:r w:rsidR="00240E6E" w:rsidRPr="00240E6E">
        <w:rPr>
          <w:rFonts w:ascii="Times New Roman" w:eastAsia="Calibri" w:hAnsi="Times New Roman" w:cs="Times New Roman"/>
          <w:kern w:val="0"/>
          <w:sz w:val="24"/>
          <w:lang w:eastAsia="en-US"/>
        </w:rPr>
        <w:t xml:space="preserve"> 605-628. </w:t>
      </w:r>
    </w:p>
    <w:p w:rsidR="00240E6E" w:rsidRPr="00240E6E" w:rsidRDefault="00A22319" w:rsidP="00240E6E">
      <w:pPr>
        <w:widowControl/>
        <w:spacing w:line="480" w:lineRule="auto"/>
        <w:ind w:left="720" w:hanging="720"/>
        <w:jc w:val="left"/>
        <w:rPr>
          <w:rFonts w:ascii="Times New Roman" w:eastAsia="Calibri" w:hAnsi="Times New Roman" w:cs="Times New Roman"/>
          <w:kern w:val="0"/>
          <w:sz w:val="24"/>
          <w:lang w:eastAsia="en-US"/>
        </w:rPr>
      </w:pPr>
      <w:r>
        <w:rPr>
          <w:rFonts w:ascii="Times New Roman" w:eastAsia="Calibri" w:hAnsi="Times New Roman" w:cs="Times New Roman"/>
          <w:kern w:val="0"/>
          <w:sz w:val="24"/>
          <w:lang w:eastAsia="en-US"/>
        </w:rPr>
        <w:t>Rai, J.</w:t>
      </w:r>
      <w:r w:rsidR="00240E6E" w:rsidRPr="00240E6E">
        <w:rPr>
          <w:rFonts w:ascii="Times New Roman" w:eastAsia="Calibri" w:hAnsi="Times New Roman" w:cs="Times New Roman"/>
          <w:kern w:val="0"/>
          <w:sz w:val="24"/>
          <w:lang w:eastAsia="en-US"/>
        </w:rPr>
        <w:t xml:space="preserve"> (2014). Three essays on gender differences on risk preferences and credit ma</w:t>
      </w:r>
      <w:r>
        <w:rPr>
          <w:rFonts w:ascii="Times New Roman" w:eastAsia="Calibri" w:hAnsi="Times New Roman" w:cs="Times New Roman"/>
          <w:kern w:val="0"/>
          <w:sz w:val="24"/>
          <w:lang w:eastAsia="en-US"/>
        </w:rPr>
        <w:t xml:space="preserve">rket constraints. </w:t>
      </w:r>
      <w:r w:rsidRPr="00A22319">
        <w:rPr>
          <w:rFonts w:ascii="Times New Roman" w:eastAsia="Calibri" w:hAnsi="Times New Roman" w:cs="Times New Roman"/>
          <w:i/>
          <w:kern w:val="0"/>
          <w:sz w:val="24"/>
          <w:lang w:eastAsia="en-US"/>
        </w:rPr>
        <w:t>Western Michigan University Dissertations</w:t>
      </w:r>
      <w:r w:rsidR="00240E6E" w:rsidRPr="00A22319">
        <w:rPr>
          <w:rFonts w:ascii="Times New Roman" w:eastAsia="Calibri" w:hAnsi="Times New Roman" w:cs="Times New Roman"/>
          <w:i/>
          <w:kern w:val="0"/>
          <w:sz w:val="24"/>
          <w:lang w:eastAsia="en-US"/>
        </w:rPr>
        <w:t xml:space="preserve"> 389.</w:t>
      </w:r>
      <w:r>
        <w:rPr>
          <w:rFonts w:ascii="Times New Roman" w:eastAsia="Calibri" w:hAnsi="Times New Roman" w:cs="Times New Roman"/>
          <w:kern w:val="0"/>
          <w:sz w:val="24"/>
          <w:lang w:eastAsia="en-US"/>
        </w:rPr>
        <w:t xml:space="preserve"> </w:t>
      </w:r>
      <w:r w:rsidR="00240E6E" w:rsidRPr="00240E6E">
        <w:rPr>
          <w:rFonts w:ascii="Times New Roman" w:eastAsia="Calibri" w:hAnsi="Times New Roman" w:cs="Times New Roman"/>
          <w:kern w:val="0"/>
          <w:sz w:val="24"/>
          <w:lang w:eastAsia="en-US"/>
        </w:rPr>
        <w:t xml:space="preserve">Retrieved from </w:t>
      </w:r>
      <w:hyperlink r:id="rId29" w:history="1">
        <w:r w:rsidR="00240E6E" w:rsidRPr="00240E6E">
          <w:rPr>
            <w:rFonts w:ascii="Times New Roman" w:eastAsia="Times New Roman" w:hAnsi="Times New Roman" w:cs="Times New Roman"/>
            <w:color w:val="0000FF"/>
            <w:sz w:val="24"/>
            <w:u w:val="single"/>
          </w:rPr>
          <w:t>http://scholarworks.wmich.edu/dissertations/389</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Rieger, M.O., Wang, M.,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Hens, T. (2014). Risk preferences around the world. </w:t>
      </w:r>
      <w:r w:rsidRPr="00240E6E">
        <w:rPr>
          <w:rFonts w:ascii="Times New Roman" w:eastAsia="Calibri" w:hAnsi="Times New Roman" w:cs="Times New Roman"/>
          <w:i/>
          <w:iCs/>
          <w:kern w:val="0"/>
          <w:sz w:val="24"/>
          <w:lang w:eastAsia="en-US"/>
        </w:rPr>
        <w:t xml:space="preserve">Management Science, 61(3): </w:t>
      </w:r>
      <w:r w:rsidRPr="00240E6E">
        <w:rPr>
          <w:rFonts w:ascii="Times New Roman" w:eastAsia="Calibri" w:hAnsi="Times New Roman" w:cs="Times New Roman"/>
          <w:kern w:val="0"/>
          <w:sz w:val="24"/>
          <w:lang w:eastAsia="en-US"/>
        </w:rPr>
        <w:t xml:space="preserve">637-648.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Rosaz, J. (2012). Biased information and effort. </w:t>
      </w:r>
      <w:r w:rsidRPr="00240E6E">
        <w:rPr>
          <w:rFonts w:ascii="Times New Roman" w:eastAsia="Calibri" w:hAnsi="Times New Roman" w:cs="Times New Roman"/>
          <w:i/>
          <w:kern w:val="0"/>
          <w:sz w:val="24"/>
          <w:lang w:eastAsia="en-US"/>
        </w:rPr>
        <w:t>Economic Inquiry, 50(2):</w:t>
      </w:r>
      <w:r w:rsidRPr="00240E6E">
        <w:rPr>
          <w:rFonts w:ascii="Times New Roman" w:eastAsia="Calibri" w:hAnsi="Times New Roman" w:cs="Times New Roman"/>
          <w:kern w:val="0"/>
          <w:sz w:val="24"/>
          <w:lang w:eastAsia="en-US"/>
        </w:rPr>
        <w:t xml:space="preserve"> 484–501.</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Rosaz, J., &amp; Villeval, M. C. (2012). Lies and biased evaluation: A real-effort experiment. </w:t>
      </w:r>
      <w:r w:rsidRPr="00240E6E">
        <w:rPr>
          <w:rFonts w:ascii="Times New Roman" w:eastAsia="Calibri" w:hAnsi="Times New Roman" w:cs="Times New Roman"/>
          <w:i/>
          <w:kern w:val="0"/>
          <w:sz w:val="24"/>
          <w:lang w:eastAsia="en-US"/>
        </w:rPr>
        <w:t xml:space="preserve">Journal of Economic Behavior &amp; Organization, 84(2): </w:t>
      </w:r>
      <w:r w:rsidRPr="00240E6E">
        <w:rPr>
          <w:rFonts w:ascii="Times New Roman" w:eastAsia="Calibri" w:hAnsi="Times New Roman" w:cs="Times New Roman"/>
          <w:kern w:val="0"/>
          <w:sz w:val="24"/>
          <w:lang w:eastAsia="en-US"/>
        </w:rPr>
        <w:t>537 – 549.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Ryvkin, D. (2011). Fatigue in dynamic tournaments. </w:t>
      </w:r>
      <w:r w:rsidRPr="00240E6E">
        <w:rPr>
          <w:rFonts w:ascii="Times New Roman" w:eastAsia="Calibri" w:hAnsi="Times New Roman" w:cs="Times New Roman"/>
          <w:i/>
          <w:kern w:val="0"/>
          <w:sz w:val="24"/>
          <w:lang w:eastAsia="en-US"/>
        </w:rPr>
        <w:t xml:space="preserve">Journal of Economics &amp; Management Strategy, 20(4): </w:t>
      </w:r>
      <w:r w:rsidRPr="00240E6E">
        <w:rPr>
          <w:rFonts w:ascii="Times New Roman" w:eastAsia="Calibri" w:hAnsi="Times New Roman" w:cs="Times New Roman"/>
          <w:kern w:val="0"/>
          <w:sz w:val="24"/>
          <w:lang w:eastAsia="en-US"/>
        </w:rPr>
        <w:t>1011–1041.</w:t>
      </w:r>
    </w:p>
    <w:p w:rsidR="00240E6E" w:rsidRPr="00A22319" w:rsidRDefault="00240E6E" w:rsidP="00240E6E">
      <w:pPr>
        <w:widowControl/>
        <w:spacing w:line="480" w:lineRule="auto"/>
        <w:ind w:left="720" w:hanging="720"/>
        <w:jc w:val="left"/>
        <w:rPr>
          <w:rFonts w:ascii="Times New Roman" w:eastAsia="Calibri" w:hAnsi="Times New Roman" w:cs="Times New Roman"/>
          <w:i/>
          <w:kern w:val="0"/>
          <w:sz w:val="24"/>
          <w:lang w:eastAsia="en-US"/>
        </w:rPr>
      </w:pPr>
      <w:r w:rsidRPr="00240E6E">
        <w:rPr>
          <w:rFonts w:ascii="Times New Roman" w:eastAsia="Calibri" w:hAnsi="Times New Roman" w:cs="Times New Roman"/>
          <w:kern w:val="0"/>
          <w:sz w:val="24"/>
          <w:lang w:eastAsia="en-US"/>
        </w:rPr>
        <w:t xml:space="preserve">Schaefer, R.E. (1978). What are we talking about when we talk about “risk”? A critical survey of risk and risk-tolerance theories. </w:t>
      </w:r>
      <w:r w:rsidRPr="00A22319">
        <w:rPr>
          <w:rFonts w:ascii="Times New Roman" w:eastAsia="Calibri" w:hAnsi="Times New Roman" w:cs="Times New Roman"/>
          <w:i/>
          <w:kern w:val="0"/>
          <w:sz w:val="24"/>
          <w:lang w:eastAsia="en-US"/>
        </w:rPr>
        <w:t>Institute for Applied Systems Analysis.</w:t>
      </w:r>
    </w:p>
    <w:p w:rsidR="00240E6E" w:rsidRPr="00240E6E" w:rsidRDefault="00240E6E" w:rsidP="00240E6E">
      <w:pPr>
        <w:widowControl/>
        <w:spacing w:line="480" w:lineRule="auto"/>
        <w:ind w:left="720" w:hanging="720"/>
        <w:jc w:val="left"/>
        <w:rPr>
          <w:rFonts w:ascii="Times New Roman" w:eastAsia="Calibri" w:hAnsi="Times New Roman" w:cs="Times New Roman"/>
          <w:i/>
          <w:kern w:val="0"/>
          <w:sz w:val="24"/>
          <w:lang w:eastAsia="en-US"/>
        </w:rPr>
      </w:pPr>
      <w:r w:rsidRPr="00240E6E">
        <w:rPr>
          <w:rFonts w:ascii="Times New Roman" w:eastAsia="Calibri" w:hAnsi="Times New Roman" w:cs="Times New Roman"/>
          <w:kern w:val="0"/>
          <w:sz w:val="24"/>
          <w:lang w:eastAsia="en-US"/>
        </w:rPr>
        <w:t>S</w:t>
      </w:r>
      <w:r w:rsidR="00A22319">
        <w:rPr>
          <w:rFonts w:ascii="Times New Roman" w:eastAsia="Calibri" w:hAnsi="Times New Roman" w:cs="Times New Roman"/>
          <w:kern w:val="0"/>
          <w:sz w:val="24"/>
          <w:lang w:eastAsia="en-US"/>
        </w:rPr>
        <w:t>chipper, B. C. (2012). Sex h</w:t>
      </w:r>
      <w:r w:rsidRPr="00240E6E">
        <w:rPr>
          <w:rFonts w:ascii="Times New Roman" w:eastAsia="Calibri" w:hAnsi="Times New Roman" w:cs="Times New Roman"/>
          <w:kern w:val="0"/>
          <w:sz w:val="24"/>
          <w:lang w:eastAsia="en-US"/>
        </w:rPr>
        <w:t xml:space="preserve">ormones and </w:t>
      </w:r>
      <w:r w:rsidR="00A22319">
        <w:rPr>
          <w:rFonts w:ascii="Times New Roman" w:eastAsia="Calibri" w:hAnsi="Times New Roman" w:cs="Times New Roman"/>
          <w:kern w:val="0"/>
          <w:sz w:val="24"/>
          <w:lang w:eastAsia="en-US"/>
        </w:rPr>
        <w:t>c</w:t>
      </w:r>
      <w:r w:rsidRPr="00240E6E">
        <w:rPr>
          <w:rFonts w:ascii="Times New Roman" w:eastAsia="Calibri" w:hAnsi="Times New Roman" w:cs="Times New Roman"/>
          <w:kern w:val="0"/>
          <w:sz w:val="24"/>
          <w:lang w:eastAsia="en-US"/>
        </w:rPr>
        <w:t xml:space="preserve">hoice under </w:t>
      </w:r>
      <w:r w:rsidR="00A22319">
        <w:rPr>
          <w:rFonts w:ascii="Times New Roman" w:eastAsia="Calibri" w:hAnsi="Times New Roman" w:cs="Times New Roman"/>
          <w:kern w:val="0"/>
          <w:sz w:val="24"/>
          <w:lang w:eastAsia="en-US"/>
        </w:rPr>
        <w:t>r</w:t>
      </w:r>
      <w:r w:rsidRPr="00240E6E">
        <w:rPr>
          <w:rFonts w:ascii="Times New Roman" w:eastAsia="Calibri" w:hAnsi="Times New Roman" w:cs="Times New Roman"/>
          <w:kern w:val="0"/>
          <w:sz w:val="24"/>
          <w:lang w:eastAsia="en-US"/>
        </w:rPr>
        <w:t xml:space="preserve">isk. </w:t>
      </w:r>
      <w:r w:rsidRPr="00240E6E">
        <w:rPr>
          <w:rFonts w:ascii="Times New Roman" w:eastAsia="Calibri" w:hAnsi="Times New Roman" w:cs="Times New Roman"/>
          <w:i/>
          <w:kern w:val="0"/>
          <w:sz w:val="24"/>
          <w:lang w:eastAsia="en-US"/>
        </w:rPr>
        <w:t>Working Papers 2012-07, University of California at Davis, Department of Economics.</w:t>
      </w:r>
    </w:p>
    <w:p w:rsidR="00240E6E" w:rsidRPr="00240E6E" w:rsidRDefault="00240E6E" w:rsidP="00240E6E">
      <w:pPr>
        <w:widowControl/>
        <w:spacing w:line="480" w:lineRule="auto"/>
        <w:ind w:left="720" w:hanging="720"/>
        <w:jc w:val="left"/>
        <w:rPr>
          <w:rFonts w:ascii="Calibri" w:eastAsia="Times New Roman" w:hAnsi="Calibri" w:cs="Times New Roman"/>
          <w:color w:val="0000FF"/>
          <w:sz w:val="22"/>
          <w:szCs w:val="22"/>
          <w:u w:val="single"/>
        </w:rPr>
      </w:pPr>
      <w:r w:rsidRPr="00240E6E">
        <w:rPr>
          <w:rFonts w:ascii="Times New Roman" w:eastAsia="Calibri" w:hAnsi="Times New Roman" w:cs="Times New Roman"/>
          <w:kern w:val="0"/>
          <w:sz w:val="24"/>
          <w:lang w:eastAsia="en-US"/>
        </w:rPr>
        <w:t>Schneid</w:t>
      </w:r>
      <w:r w:rsidR="00A22319">
        <w:rPr>
          <w:rFonts w:ascii="Times New Roman" w:eastAsia="Calibri" w:hAnsi="Times New Roman" w:cs="Times New Roman"/>
          <w:kern w:val="0"/>
          <w:sz w:val="24"/>
          <w:lang w:eastAsia="en-US"/>
        </w:rPr>
        <w:t>er, C.R., Fehrenbacher, D.D., &amp;</w:t>
      </w:r>
      <w:r w:rsidRPr="00240E6E">
        <w:rPr>
          <w:rFonts w:ascii="Times New Roman" w:eastAsia="Calibri" w:hAnsi="Times New Roman" w:cs="Times New Roman"/>
          <w:kern w:val="0"/>
          <w:sz w:val="24"/>
          <w:lang w:eastAsia="en-US"/>
        </w:rPr>
        <w:t xml:space="preserve"> Weber</w:t>
      </w:r>
      <w:r w:rsidR="00A22319">
        <w:rPr>
          <w:rFonts w:ascii="Times New Roman" w:eastAsia="Calibri" w:hAnsi="Times New Roman" w:cs="Times New Roman"/>
          <w:kern w:val="0"/>
          <w:sz w:val="24"/>
          <w:lang w:eastAsia="en-US"/>
        </w:rPr>
        <w:t>,</w:t>
      </w:r>
      <w:r w:rsidRPr="00240E6E">
        <w:rPr>
          <w:rFonts w:ascii="Times New Roman" w:eastAsia="Calibri" w:hAnsi="Times New Roman" w:cs="Times New Roman"/>
          <w:kern w:val="0"/>
          <w:sz w:val="24"/>
          <w:lang w:eastAsia="en-US"/>
        </w:rPr>
        <w:t xml:space="preserve"> E.U. (2014). Catch me if I fall: Cross-cultural differences in willingness to take financial risks as a function of social and state “cushioning”. </w:t>
      </w:r>
      <w:r w:rsidRPr="00240E6E">
        <w:rPr>
          <w:rFonts w:ascii="Times New Roman" w:eastAsia="Calibri" w:hAnsi="Times New Roman" w:cs="Times New Roman"/>
          <w:i/>
          <w:iCs/>
          <w:kern w:val="0"/>
          <w:sz w:val="24"/>
          <w:lang w:eastAsia="en-US"/>
        </w:rPr>
        <w:t xml:space="preserve">LWS Working Paper Series 16. </w:t>
      </w:r>
      <w:r w:rsidRPr="00240E6E">
        <w:rPr>
          <w:rFonts w:ascii="Times New Roman" w:eastAsia="Calibri" w:hAnsi="Times New Roman" w:cs="Times New Roman"/>
          <w:iCs/>
          <w:kern w:val="0"/>
          <w:sz w:val="24"/>
          <w:lang w:eastAsia="en-US"/>
        </w:rPr>
        <w:t xml:space="preserve">Retrieved from </w:t>
      </w:r>
      <w:hyperlink r:id="rId30">
        <w:r w:rsidRPr="00240E6E">
          <w:rPr>
            <w:rFonts w:ascii="Times New Roman" w:eastAsia="Times New Roman" w:hAnsi="Times New Roman" w:cs="Times New Roman"/>
            <w:color w:val="0000FF"/>
            <w:sz w:val="24"/>
            <w:u w:val="single"/>
          </w:rPr>
          <w:t>http://www.lisdatacenter.org/wps/lwswps/16.pdf</w:t>
        </w:r>
      </w:hyperlink>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Schram, A., &amp; Sonnemans, J. (2011). How individuals choose health insurance: An experimental analysis. </w:t>
      </w:r>
      <w:r w:rsidRPr="00240E6E">
        <w:rPr>
          <w:rFonts w:ascii="Times New Roman" w:eastAsia="Calibri" w:hAnsi="Times New Roman" w:cs="Times New Roman"/>
          <w:i/>
          <w:kern w:val="0"/>
          <w:sz w:val="24"/>
          <w:lang w:eastAsia="en-US"/>
        </w:rPr>
        <w:t>European Economic Review, 55(6):</w:t>
      </w:r>
      <w:r w:rsidRPr="00240E6E">
        <w:rPr>
          <w:rFonts w:ascii="Times New Roman" w:eastAsia="Calibri" w:hAnsi="Times New Roman" w:cs="Times New Roman"/>
          <w:kern w:val="0"/>
          <w:sz w:val="24"/>
          <w:lang w:eastAsia="en-US"/>
        </w:rPr>
        <w:t xml:space="preserve"> 799 – 819.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Schubert, R., Gysler, M., Brown, M.,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Brachinger, H.W. (1999). Financial decision-making: Are women really more risk-averse? </w:t>
      </w:r>
      <w:r w:rsidRPr="00240E6E">
        <w:rPr>
          <w:rFonts w:ascii="Times New Roman" w:eastAsia="Calibri" w:hAnsi="Times New Roman" w:cs="Times New Roman"/>
          <w:i/>
          <w:iCs/>
          <w:kern w:val="0"/>
          <w:sz w:val="24"/>
          <w:lang w:eastAsia="en-US"/>
        </w:rPr>
        <w:t>American Economic Review, 89:</w:t>
      </w:r>
      <w:r w:rsidRPr="00240E6E">
        <w:rPr>
          <w:rFonts w:ascii="Times New Roman" w:eastAsia="Calibri" w:hAnsi="Times New Roman" w:cs="Times New Roman"/>
          <w:kern w:val="0"/>
          <w:sz w:val="24"/>
          <w:lang w:eastAsia="en-US"/>
        </w:rPr>
        <w:t xml:space="preserve"> 381-385.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Shafran, A. P. (2010). Interdependent security experiments. </w:t>
      </w:r>
      <w:r w:rsidRPr="00240E6E">
        <w:rPr>
          <w:rFonts w:ascii="Times New Roman" w:eastAsia="Calibri" w:hAnsi="Times New Roman" w:cs="Times New Roman"/>
          <w:i/>
          <w:kern w:val="0"/>
          <w:sz w:val="24"/>
          <w:lang w:eastAsia="en-US"/>
        </w:rPr>
        <w:t>Economics Bulletin, 30(3):</w:t>
      </w:r>
      <w:r w:rsidRPr="00240E6E">
        <w:rPr>
          <w:rFonts w:ascii="Times New Roman" w:eastAsia="Calibri" w:hAnsi="Times New Roman" w:cs="Times New Roman"/>
          <w:kern w:val="0"/>
          <w:sz w:val="24"/>
          <w:lang w:eastAsia="en-US"/>
        </w:rPr>
        <w:t xml:space="preserve"> 1950–1962.</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Slonim, R., &amp; Guillen, P. (2010). Gender selection discrimination: Evidence from a trust game. </w:t>
      </w:r>
      <w:r w:rsidRPr="00240E6E">
        <w:rPr>
          <w:rFonts w:ascii="Times New Roman" w:eastAsia="Calibri" w:hAnsi="Times New Roman" w:cs="Times New Roman"/>
          <w:i/>
          <w:kern w:val="0"/>
          <w:sz w:val="24"/>
          <w:lang w:eastAsia="en-US"/>
        </w:rPr>
        <w:t>Journal of Economic Behavior &amp; Organization, 76(2):</w:t>
      </w:r>
      <w:r w:rsidRPr="00240E6E">
        <w:rPr>
          <w:rFonts w:ascii="Times New Roman" w:eastAsia="Calibri" w:hAnsi="Times New Roman" w:cs="Times New Roman"/>
          <w:kern w:val="0"/>
          <w:sz w:val="24"/>
          <w:lang w:eastAsia="en-US"/>
        </w:rPr>
        <w:t xml:space="preserve"> 385 – 405.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Sloof, R., &amp; Van Praag, C. M. (2010). The effect of noise in a performance measure on work motivation: A real effort laboratory experiment</w:t>
      </w:r>
      <w:r w:rsidRPr="00240E6E">
        <w:rPr>
          <w:rFonts w:ascii="Times New Roman" w:eastAsia="Calibri" w:hAnsi="Times New Roman" w:cs="Times New Roman"/>
          <w:i/>
          <w:kern w:val="0"/>
          <w:sz w:val="24"/>
          <w:lang w:eastAsia="en-US"/>
        </w:rPr>
        <w:t>. Labor Economics, 17(5):</w:t>
      </w:r>
      <w:r w:rsidRPr="00240E6E">
        <w:rPr>
          <w:rFonts w:ascii="Times New Roman" w:eastAsia="Calibri" w:hAnsi="Times New Roman" w:cs="Times New Roman"/>
          <w:kern w:val="0"/>
          <w:sz w:val="24"/>
          <w:lang w:eastAsia="en-US"/>
        </w:rPr>
        <w:t xml:space="preserve"> 751 – 765.</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Tan, H. (2011). Cross-cultural risk behavior in financial decisions and the cushion hypothesis. </w:t>
      </w:r>
      <w:r w:rsidRPr="00240E6E">
        <w:rPr>
          <w:rFonts w:ascii="Times New Roman" w:eastAsia="Calibri" w:hAnsi="Times New Roman" w:cs="Times New Roman"/>
          <w:i/>
          <w:iCs/>
          <w:kern w:val="0"/>
          <w:sz w:val="24"/>
          <w:lang w:eastAsia="en-US"/>
        </w:rPr>
        <w:t>CMC Senior Thesis. Paper 168.</w:t>
      </w:r>
      <w:r w:rsidRPr="00240E6E">
        <w:rPr>
          <w:rFonts w:ascii="Times New Roman" w:eastAsia="Calibri" w:hAnsi="Times New Roman" w:cs="Times New Roman"/>
          <w:kern w:val="0"/>
          <w:sz w:val="24"/>
          <w:lang w:eastAsia="en-US"/>
        </w:rPr>
        <w:t xml:space="preserve"> </w:t>
      </w:r>
      <w:hyperlink r:id="rId31">
        <w:r w:rsidRPr="00240E6E">
          <w:rPr>
            <w:rFonts w:ascii="Times New Roman" w:eastAsia="Times New Roman" w:hAnsi="Times New Roman" w:cs="Times New Roman"/>
            <w:color w:val="0000FF"/>
            <w:sz w:val="24"/>
            <w:u w:val="single"/>
          </w:rPr>
          <w:t>http://scholarship.claremont.edu/cgi/viewcontent.cgi?article=1134andcontext=cmc_theses</w:t>
        </w:r>
      </w:hyperlink>
      <w:r w:rsidRPr="00240E6E">
        <w:rPr>
          <w:rFonts w:ascii="Times New Roman" w:eastAsia="Calibri" w:hAnsi="Times New Roman" w:cs="Times New Roman"/>
          <w:kern w:val="0"/>
          <w:sz w:val="24"/>
          <w:lang w:eastAsia="en-US"/>
        </w:rPr>
        <w:t xml:space="preserve">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Taras, V., Rowney, J., &amp; Steel, P. (2009). Half a century of measuring culture: Approaches, challenges, limitations, and suggestions based on the analysis of 121 instruments for quantifying culture. </w:t>
      </w:r>
      <w:r w:rsidRPr="00240E6E">
        <w:rPr>
          <w:rFonts w:ascii="Times New Roman" w:eastAsia="Calibri" w:hAnsi="Times New Roman" w:cs="Times New Roman"/>
          <w:i/>
          <w:kern w:val="0"/>
          <w:sz w:val="24"/>
          <w:lang w:eastAsia="en-US"/>
        </w:rPr>
        <w:t>Journal of International Management, 15(4):</w:t>
      </w:r>
      <w:r w:rsidRPr="00240E6E">
        <w:rPr>
          <w:rFonts w:ascii="Times New Roman" w:eastAsia="Calibri" w:hAnsi="Times New Roman" w:cs="Times New Roman"/>
          <w:kern w:val="0"/>
          <w:sz w:val="24"/>
          <w:lang w:eastAsia="en-US"/>
        </w:rPr>
        <w:t xml:space="preserve"> 357-373</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Wakolbinger, F., &amp; Haigner, S. D. (2009). Peer advice in a tax-evasion experiment. </w:t>
      </w:r>
      <w:r w:rsidRPr="00240E6E">
        <w:rPr>
          <w:rFonts w:ascii="Times New Roman" w:eastAsia="Calibri" w:hAnsi="Times New Roman" w:cs="Times New Roman"/>
          <w:i/>
          <w:kern w:val="0"/>
          <w:sz w:val="24"/>
          <w:lang w:eastAsia="en-US"/>
        </w:rPr>
        <w:t>Economics Bulletin, 29(3):</w:t>
      </w:r>
      <w:r w:rsidRPr="00240E6E">
        <w:rPr>
          <w:rFonts w:ascii="Times New Roman" w:eastAsia="Calibri" w:hAnsi="Times New Roman" w:cs="Times New Roman"/>
          <w:kern w:val="0"/>
          <w:sz w:val="24"/>
          <w:lang w:eastAsia="en-US"/>
        </w:rPr>
        <w:t xml:space="preserve"> 1653–1669.</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Wang, P. (1994). Brokers still treat men better than women. </w:t>
      </w:r>
      <w:r w:rsidRPr="00240E6E">
        <w:rPr>
          <w:rFonts w:ascii="Times New Roman" w:eastAsia="Calibri" w:hAnsi="Times New Roman" w:cs="Times New Roman"/>
          <w:i/>
          <w:iCs/>
          <w:kern w:val="0"/>
          <w:sz w:val="24"/>
          <w:lang w:eastAsia="en-US"/>
        </w:rPr>
        <w:t>Money, 23(6):</w:t>
      </w:r>
      <w:r w:rsidRPr="00240E6E">
        <w:rPr>
          <w:rFonts w:ascii="Times New Roman" w:eastAsia="Calibri" w:hAnsi="Times New Roman" w:cs="Times New Roman"/>
          <w:kern w:val="0"/>
          <w:sz w:val="24"/>
          <w:lang w:eastAsia="en-US"/>
        </w:rPr>
        <w:t xml:space="preserve"> 108-110.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Waldron, I., McCloskey, C.,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Earle, I. (2005). Trends in gender differences in accident mortality: Relationships to changing gender roles and other societal trends. </w:t>
      </w:r>
      <w:r w:rsidRPr="00240E6E">
        <w:rPr>
          <w:rFonts w:ascii="Times New Roman" w:eastAsia="Calibri" w:hAnsi="Times New Roman" w:cs="Times New Roman"/>
          <w:i/>
          <w:kern w:val="0"/>
          <w:sz w:val="24"/>
          <w:lang w:eastAsia="en-US"/>
        </w:rPr>
        <w:t>Demographic Research, 13:</w:t>
      </w:r>
      <w:r w:rsidRPr="00240E6E">
        <w:rPr>
          <w:rFonts w:ascii="Times New Roman" w:eastAsia="Calibri" w:hAnsi="Times New Roman" w:cs="Times New Roman"/>
          <w:kern w:val="0"/>
          <w:sz w:val="24"/>
          <w:lang w:eastAsia="en-US"/>
        </w:rPr>
        <w:t xml:space="preserve"> 415-454.</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Wilkinson, N., </w:t>
      </w:r>
      <w:r w:rsidR="00A22319">
        <w:rPr>
          <w:rFonts w:ascii="Times New Roman" w:eastAsia="Calibri" w:hAnsi="Times New Roman" w:cs="Times New Roman"/>
          <w:kern w:val="0"/>
          <w:sz w:val="24"/>
          <w:lang w:eastAsia="en-US"/>
        </w:rPr>
        <w:t>&amp;</w:t>
      </w:r>
      <w:r w:rsidRPr="00240E6E">
        <w:rPr>
          <w:rFonts w:ascii="Times New Roman" w:eastAsia="Calibri" w:hAnsi="Times New Roman" w:cs="Times New Roman"/>
          <w:kern w:val="0"/>
          <w:sz w:val="24"/>
          <w:lang w:eastAsia="en-US"/>
        </w:rPr>
        <w:t xml:space="preserve"> Klaes, M. (2012). </w:t>
      </w:r>
      <w:r w:rsidRPr="00240E6E">
        <w:rPr>
          <w:rFonts w:ascii="Times New Roman" w:eastAsia="Calibri" w:hAnsi="Times New Roman" w:cs="Times New Roman"/>
          <w:i/>
          <w:iCs/>
          <w:kern w:val="0"/>
          <w:sz w:val="24"/>
          <w:lang w:eastAsia="en-US"/>
        </w:rPr>
        <w:t xml:space="preserve">An Introduction to Behavioral Economics. </w:t>
      </w:r>
      <w:r w:rsidRPr="00240E6E">
        <w:rPr>
          <w:rFonts w:ascii="Times New Roman" w:eastAsia="Calibri" w:hAnsi="Times New Roman" w:cs="Times New Roman"/>
          <w:kern w:val="0"/>
          <w:sz w:val="24"/>
          <w:lang w:eastAsia="en-US"/>
        </w:rPr>
        <w:t>Palgrave Macmillan.</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Wong, Y. J., Ho, M.R., Wang, S., &amp; Miller, I.S. (2016). Meta-analyses of the relationship between conformity to masculine norms and mental health-related outcomes. </w:t>
      </w:r>
      <w:r w:rsidRPr="00240E6E">
        <w:rPr>
          <w:rFonts w:ascii="Times New Roman" w:eastAsia="Calibri" w:hAnsi="Times New Roman" w:cs="Times New Roman"/>
          <w:i/>
          <w:kern w:val="0"/>
          <w:sz w:val="24"/>
          <w:lang w:eastAsia="en-US"/>
        </w:rPr>
        <w:t>Journal of Counseling Psychology, 64(1):</w:t>
      </w:r>
      <w:r w:rsidRPr="00240E6E">
        <w:rPr>
          <w:rFonts w:ascii="Times New Roman" w:eastAsia="Calibri" w:hAnsi="Times New Roman" w:cs="Times New Roman"/>
          <w:kern w:val="0"/>
          <w:sz w:val="24"/>
          <w:lang w:eastAsia="en-US"/>
        </w:rPr>
        <w:t xml:space="preserve"> 80-93. </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r w:rsidRPr="00240E6E">
        <w:rPr>
          <w:rFonts w:ascii="Times New Roman" w:eastAsia="Calibri" w:hAnsi="Times New Roman" w:cs="Times New Roman"/>
          <w:kern w:val="0"/>
          <w:sz w:val="24"/>
          <w:lang w:eastAsia="en-US"/>
        </w:rPr>
        <w:t xml:space="preserve">Yechiam, E., &amp; Hochman, G. (2013). Loss-aversion or loss-attention: The impact of losses on cognitive performance. </w:t>
      </w:r>
      <w:r w:rsidRPr="00240E6E">
        <w:rPr>
          <w:rFonts w:ascii="Times New Roman" w:eastAsia="Calibri" w:hAnsi="Times New Roman" w:cs="Times New Roman"/>
          <w:i/>
          <w:kern w:val="0"/>
          <w:sz w:val="24"/>
          <w:lang w:eastAsia="en-US"/>
        </w:rPr>
        <w:t>Cognitive Psychology, 66(2):</w:t>
      </w:r>
      <w:r w:rsidRPr="00240E6E">
        <w:rPr>
          <w:rFonts w:ascii="Times New Roman" w:eastAsia="Calibri" w:hAnsi="Times New Roman" w:cs="Times New Roman"/>
          <w:kern w:val="0"/>
          <w:sz w:val="24"/>
          <w:lang w:eastAsia="en-US"/>
        </w:rPr>
        <w:t xml:space="preserve"> 212 – 231</w:t>
      </w:r>
    </w:p>
    <w:p w:rsidR="00240E6E" w:rsidRPr="00240E6E" w:rsidRDefault="00240E6E" w:rsidP="00240E6E">
      <w:pPr>
        <w:widowControl/>
        <w:spacing w:line="480" w:lineRule="auto"/>
        <w:ind w:left="720" w:hanging="720"/>
        <w:jc w:val="left"/>
        <w:rPr>
          <w:rFonts w:ascii="Times New Roman" w:eastAsia="Calibri" w:hAnsi="Times New Roman" w:cs="Times New Roman"/>
          <w:kern w:val="0"/>
          <w:sz w:val="24"/>
          <w:lang w:eastAsia="en-US"/>
        </w:rPr>
      </w:pPr>
    </w:p>
    <w:p w:rsidR="009F7275" w:rsidRDefault="009F7275" w:rsidP="00240E6E">
      <w:pPr>
        <w:spacing w:line="480" w:lineRule="auto"/>
        <w:jc w:val="left"/>
        <w:rPr>
          <w:rFonts w:ascii="Times New Roman" w:hAnsi="Times New Roman" w:cs="Times New Roman"/>
          <w:sz w:val="24"/>
        </w:rPr>
      </w:pPr>
    </w:p>
    <w:sectPr w:rsidR="009F7275">
      <w:headerReference w:type="default" r:id="rId32"/>
      <w:pgSz w:w="12240" w:h="15840"/>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32" w:rsidRDefault="00186D32">
      <w:pPr>
        <w:spacing w:after="0" w:line="240" w:lineRule="auto"/>
      </w:pPr>
      <w:r>
        <w:separator/>
      </w:r>
    </w:p>
  </w:endnote>
  <w:endnote w:type="continuationSeparator" w:id="0">
    <w:p w:rsidR="00186D32" w:rsidRDefault="0018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32" w:rsidRDefault="00186D32">
      <w:pPr>
        <w:spacing w:after="0" w:line="240" w:lineRule="auto"/>
      </w:pPr>
      <w:r>
        <w:separator/>
      </w:r>
    </w:p>
  </w:footnote>
  <w:footnote w:type="continuationSeparator" w:id="0">
    <w:p w:rsidR="00186D32" w:rsidRDefault="00186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34" w:rsidRDefault="00393D34">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margin">
                <wp:posOffset>5451475</wp:posOffset>
              </wp:positionH>
              <wp:positionV relativeFrom="paragraph">
                <wp:posOffset>0</wp:posOffset>
              </wp:positionV>
              <wp:extent cx="4921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21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3D34" w:rsidRDefault="00393D34">
                          <w:pPr>
                            <w:snapToGrid w:val="0"/>
                            <w:rPr>
                              <w:rFonts w:ascii="Times New Roman" w:hAnsi="Times New Roman" w:cs="Times New Roman"/>
                              <w:sz w:val="18"/>
                            </w:rPr>
                          </w:pPr>
                          <w:r>
                            <w:rPr>
                              <w:rFonts w:ascii="Times New Roman" w:hAnsi="Times New Roman" w:cs="Times New Roman"/>
                              <w:sz w:val="18"/>
                            </w:rPr>
                            <w:t xml:space="preserve">Zhong </w:t>
                          </w: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B20051">
                            <w:rPr>
                              <w:rFonts w:ascii="Times New Roman" w:hAnsi="Times New Roman" w:cs="Times New Roman"/>
                              <w:noProof/>
                              <w:sz w:val="18"/>
                            </w:rPr>
                            <w:t>2</w:t>
                          </w:r>
                          <w:r>
                            <w:rPr>
                              <w:rFonts w:ascii="Times New Roman" w:hAnsi="Times New Roman" w:cs="Times New Roman"/>
                              <w:sz w:val="1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9.25pt;margin-top:0;width:38.7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iPaAIAAAsFAAAOAAAAZHJzL2Uyb0RvYy54bWysVM1uEzEQviPxDpbvdJNAqxB1U4VUQUgV&#10;rSiIs+O1mxX+w3ayGx6AvgEnLtx5rj4Hn727KSpcirh4Zz3f/H0z49OzViuyEz7U1pR0fDSiRBhu&#10;q9rclPTD+9WzKSUhMlMxZY0o6V4EejZ/+uS0cTMxsRurKuEJnJgwa1xJNzG6WVEEvhGahSPrhIFS&#10;Wq9ZxK+/KSrPGnjXqpiMRidFY33lvOUiBNyed0o6z/6lFDxeShlEJKqkyC3m0+dznc5ifspmN565&#10;Tc37NNg/ZKFZbRD04OqcRUa2vv7Dla65t8HKeMStLqyUNRe5BlQzHj2o5nrDnMi1gJzgDjSF/+eW&#10;v91deVJX6B0lhmm06O7b7d33n3c/vpJxoqdxYQbUtQMutq9sm6D9fcBlqrqVXqcv6iHQg+j9gVzR&#10;RsJx+eLlZDw5poRDNZ5OptNRZr+4t3Y+xNfCapKEkno0L3PKdhchIiKgAyQFM3ZVK5UbqAxpSnry&#10;/HiUDQ4aWCgDw1RDl2uW4l6J5EGZd0Ki+JxyushjJ5bKkx3DwDDOhYm52uwJ6ISSCPsYwx6fTEUe&#10;yccYHyxyZGviwVjXxvpc74O0q09DyrLDDwx0dScKYrtu+x6ubbVHa73tdiM4vqrB/wUL8Yp5LAO6&#10;iQWPlziksuDZ9hIlG+u//O0+4TGj0FLSYLlKGj5vmReUqDcG05s2cRD8IKwHwWz10oJ+TCSyySIM&#10;fFSDKL3VH7H3ixQFKmY4YpU0DuIydiuOd4OLxSKDsG+OxQtz7XhyndvtFtuIKcrDlWjpuOjpwsbl&#10;metfh7TSv/9n1P0bNv8FAAD//wMAUEsDBBQABgAIAAAAIQBXEoAo3QAAAAgBAAAPAAAAZHJzL2Rv&#10;d25yZXYueG1sTI9BT8MwDIXvSPyHyEjcWMLQplKaTgjBDnCiQ4hj1rhNoXGqJusKvx5zGjdb7/n5&#10;e8Vm9r2YcIxdIA3XCwUCqQ62o1bD2+7pKgMRkyFr+kCo4RsjbMrzs8LkNhzpFacqtYJDKOZGg0tp&#10;yKWMtUNv4iIMSKw1YfQm8Tq20o7myOG+l0ul1tKbjviDMwM+OKy/qoNnjPcX5bc/jfvwz6aJldtN&#10;28dPrS8v5vs7EAnndDLDHz7fQMlM+3AgG0WvIVtlK7Zq4EYs396sedhrWGaZAlkW8n+B8hcAAP//&#10;AwBQSwECLQAUAAYACAAAACEAtoM4kv4AAADhAQAAEwAAAAAAAAAAAAAAAAAAAAAAW0NvbnRlbnRf&#10;VHlwZXNdLnhtbFBLAQItABQABgAIAAAAIQA4/SH/1gAAAJQBAAALAAAAAAAAAAAAAAAAAC8BAABf&#10;cmVscy8ucmVsc1BLAQItABQABgAIAAAAIQCuxgiPaAIAAAsFAAAOAAAAAAAAAAAAAAAAAC4CAABk&#10;cnMvZTJvRG9jLnhtbFBLAQItABQABgAIAAAAIQBXEoAo3QAAAAgBAAAPAAAAAAAAAAAAAAAAAMIE&#10;AABkcnMvZG93bnJldi54bWxQSwUGAAAAAAQABADzAAAAzAUAAAAA&#10;" filled="f" stroked="f" strokeweight=".5pt">
              <v:textbox style="mso-fit-shape-to-text:t" inset="0,0,0,0">
                <w:txbxContent>
                  <w:p w:rsidR="00393D34" w:rsidRDefault="00393D34">
                    <w:pPr>
                      <w:snapToGrid w:val="0"/>
                      <w:rPr>
                        <w:rFonts w:ascii="Times New Roman" w:hAnsi="Times New Roman" w:cs="Times New Roman"/>
                        <w:sz w:val="18"/>
                      </w:rPr>
                    </w:pPr>
                    <w:r>
                      <w:rPr>
                        <w:rFonts w:ascii="Times New Roman" w:hAnsi="Times New Roman" w:cs="Times New Roman"/>
                        <w:sz w:val="18"/>
                      </w:rPr>
                      <w:t xml:space="preserve">Zhong </w:t>
                    </w: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B20051">
                      <w:rPr>
                        <w:rFonts w:ascii="Times New Roman" w:hAnsi="Times New Roman" w:cs="Times New Roman"/>
                        <w:noProof/>
                        <w:sz w:val="18"/>
                      </w:rPr>
                      <w:t>2</w:t>
                    </w:r>
                    <w:r>
                      <w:rPr>
                        <w:rFonts w:ascii="Times New Roman" w:hAnsi="Times New Roman" w:cs="Times New Roman"/>
                        <w:sz w:val="18"/>
                      </w:rP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05E"/>
    <w:rsid w:val="00080AED"/>
    <w:rsid w:val="000F455E"/>
    <w:rsid w:val="00117959"/>
    <w:rsid w:val="00172A27"/>
    <w:rsid w:val="00186D32"/>
    <w:rsid w:val="001B5D1C"/>
    <w:rsid w:val="001C5A82"/>
    <w:rsid w:val="0020353E"/>
    <w:rsid w:val="00240E6E"/>
    <w:rsid w:val="002C34E5"/>
    <w:rsid w:val="002C6D69"/>
    <w:rsid w:val="002E1470"/>
    <w:rsid w:val="0030527A"/>
    <w:rsid w:val="003133F3"/>
    <w:rsid w:val="00372EEA"/>
    <w:rsid w:val="00393D34"/>
    <w:rsid w:val="003A1108"/>
    <w:rsid w:val="003A1B3C"/>
    <w:rsid w:val="003A4ED5"/>
    <w:rsid w:val="003D41D4"/>
    <w:rsid w:val="003F20ED"/>
    <w:rsid w:val="003F4D57"/>
    <w:rsid w:val="003F54CF"/>
    <w:rsid w:val="00412AB1"/>
    <w:rsid w:val="0046312E"/>
    <w:rsid w:val="00512D08"/>
    <w:rsid w:val="00522B7E"/>
    <w:rsid w:val="00535F04"/>
    <w:rsid w:val="005529F2"/>
    <w:rsid w:val="00557156"/>
    <w:rsid w:val="00560D81"/>
    <w:rsid w:val="005F2552"/>
    <w:rsid w:val="006A0354"/>
    <w:rsid w:val="006F3960"/>
    <w:rsid w:val="006F7881"/>
    <w:rsid w:val="00716054"/>
    <w:rsid w:val="00753AAB"/>
    <w:rsid w:val="00763226"/>
    <w:rsid w:val="00771FAB"/>
    <w:rsid w:val="00824D3D"/>
    <w:rsid w:val="008516C5"/>
    <w:rsid w:val="00872297"/>
    <w:rsid w:val="008A71B3"/>
    <w:rsid w:val="008B2583"/>
    <w:rsid w:val="00937CAE"/>
    <w:rsid w:val="00954288"/>
    <w:rsid w:val="009626A1"/>
    <w:rsid w:val="009D1351"/>
    <w:rsid w:val="009E40FF"/>
    <w:rsid w:val="009F7275"/>
    <w:rsid w:val="00A22319"/>
    <w:rsid w:val="00A23C15"/>
    <w:rsid w:val="00AA46D2"/>
    <w:rsid w:val="00AD0B61"/>
    <w:rsid w:val="00AE618C"/>
    <w:rsid w:val="00B20051"/>
    <w:rsid w:val="00B42628"/>
    <w:rsid w:val="00B63618"/>
    <w:rsid w:val="00C76C78"/>
    <w:rsid w:val="00C95BE4"/>
    <w:rsid w:val="00D22A56"/>
    <w:rsid w:val="00D51076"/>
    <w:rsid w:val="00D842D7"/>
    <w:rsid w:val="00D924DC"/>
    <w:rsid w:val="00DB0ABA"/>
    <w:rsid w:val="00E24D88"/>
    <w:rsid w:val="00E33388"/>
    <w:rsid w:val="00E73248"/>
    <w:rsid w:val="00E77479"/>
    <w:rsid w:val="00E9643C"/>
    <w:rsid w:val="00EA5BDF"/>
    <w:rsid w:val="00F5215C"/>
    <w:rsid w:val="00F71953"/>
    <w:rsid w:val="00F71C45"/>
    <w:rsid w:val="00F95AF0"/>
    <w:rsid w:val="00FB73D1"/>
    <w:rsid w:val="01761746"/>
    <w:rsid w:val="01975A4A"/>
    <w:rsid w:val="01FF1ED6"/>
    <w:rsid w:val="02002D72"/>
    <w:rsid w:val="02DE2B9F"/>
    <w:rsid w:val="02F34E57"/>
    <w:rsid w:val="046278E2"/>
    <w:rsid w:val="05246CFA"/>
    <w:rsid w:val="05835DD2"/>
    <w:rsid w:val="05A20A6B"/>
    <w:rsid w:val="060B7191"/>
    <w:rsid w:val="076C26FA"/>
    <w:rsid w:val="08E16999"/>
    <w:rsid w:val="0995060C"/>
    <w:rsid w:val="0AE9674B"/>
    <w:rsid w:val="0AF222BC"/>
    <w:rsid w:val="0B705428"/>
    <w:rsid w:val="0BA64A2A"/>
    <w:rsid w:val="0CE83A5E"/>
    <w:rsid w:val="0DDF1EC2"/>
    <w:rsid w:val="0DE72339"/>
    <w:rsid w:val="0DF63E18"/>
    <w:rsid w:val="0E0360E4"/>
    <w:rsid w:val="0E123291"/>
    <w:rsid w:val="0E145315"/>
    <w:rsid w:val="0E6F3D15"/>
    <w:rsid w:val="0E7F687A"/>
    <w:rsid w:val="0E9F4988"/>
    <w:rsid w:val="112F09A8"/>
    <w:rsid w:val="11FE0AE5"/>
    <w:rsid w:val="121D50F8"/>
    <w:rsid w:val="130C5000"/>
    <w:rsid w:val="13166F12"/>
    <w:rsid w:val="13FA6863"/>
    <w:rsid w:val="1461765E"/>
    <w:rsid w:val="146E3176"/>
    <w:rsid w:val="14797DEB"/>
    <w:rsid w:val="14A675AE"/>
    <w:rsid w:val="14F675FE"/>
    <w:rsid w:val="156739E0"/>
    <w:rsid w:val="15894E88"/>
    <w:rsid w:val="16E11699"/>
    <w:rsid w:val="16F7594F"/>
    <w:rsid w:val="170E4C1D"/>
    <w:rsid w:val="17742AC4"/>
    <w:rsid w:val="17C06B19"/>
    <w:rsid w:val="18584015"/>
    <w:rsid w:val="18763AC1"/>
    <w:rsid w:val="1887190A"/>
    <w:rsid w:val="190C6E13"/>
    <w:rsid w:val="1B142B81"/>
    <w:rsid w:val="1BEA2C02"/>
    <w:rsid w:val="1C270243"/>
    <w:rsid w:val="1D2E0E46"/>
    <w:rsid w:val="1DA04F19"/>
    <w:rsid w:val="1E463617"/>
    <w:rsid w:val="1F1B1C93"/>
    <w:rsid w:val="203E5B26"/>
    <w:rsid w:val="20A1484D"/>
    <w:rsid w:val="210E000F"/>
    <w:rsid w:val="212E2C52"/>
    <w:rsid w:val="213F6B4D"/>
    <w:rsid w:val="21CC5E84"/>
    <w:rsid w:val="22271AAF"/>
    <w:rsid w:val="22C32BDA"/>
    <w:rsid w:val="23560229"/>
    <w:rsid w:val="25641D40"/>
    <w:rsid w:val="25EE6A9F"/>
    <w:rsid w:val="268E6678"/>
    <w:rsid w:val="27F07650"/>
    <w:rsid w:val="286E1292"/>
    <w:rsid w:val="288E7062"/>
    <w:rsid w:val="2A825B1F"/>
    <w:rsid w:val="2B500284"/>
    <w:rsid w:val="2D167942"/>
    <w:rsid w:val="2D26512A"/>
    <w:rsid w:val="2D987A3E"/>
    <w:rsid w:val="2DA26B32"/>
    <w:rsid w:val="2DC10057"/>
    <w:rsid w:val="2E4765D6"/>
    <w:rsid w:val="2EAA46B6"/>
    <w:rsid w:val="30526FF1"/>
    <w:rsid w:val="309274A3"/>
    <w:rsid w:val="309315B6"/>
    <w:rsid w:val="317116DD"/>
    <w:rsid w:val="31FB1AC7"/>
    <w:rsid w:val="328218E4"/>
    <w:rsid w:val="32A26A5F"/>
    <w:rsid w:val="33660057"/>
    <w:rsid w:val="339A700C"/>
    <w:rsid w:val="33C07805"/>
    <w:rsid w:val="33C31808"/>
    <w:rsid w:val="33FD59DC"/>
    <w:rsid w:val="34870BDB"/>
    <w:rsid w:val="34C619AB"/>
    <w:rsid w:val="34D863AC"/>
    <w:rsid w:val="34F57649"/>
    <w:rsid w:val="35067F5D"/>
    <w:rsid w:val="35600F93"/>
    <w:rsid w:val="363A6857"/>
    <w:rsid w:val="36B01E61"/>
    <w:rsid w:val="373C4A7B"/>
    <w:rsid w:val="37D04244"/>
    <w:rsid w:val="38EC7E61"/>
    <w:rsid w:val="3900157A"/>
    <w:rsid w:val="39566435"/>
    <w:rsid w:val="39E459EE"/>
    <w:rsid w:val="3B0C7A1F"/>
    <w:rsid w:val="3B5A0344"/>
    <w:rsid w:val="3C564B4A"/>
    <w:rsid w:val="3E6D1A53"/>
    <w:rsid w:val="3EBE3EFE"/>
    <w:rsid w:val="3ED16273"/>
    <w:rsid w:val="3FFF39E0"/>
    <w:rsid w:val="4024173A"/>
    <w:rsid w:val="40284FAD"/>
    <w:rsid w:val="409E468D"/>
    <w:rsid w:val="41976E2B"/>
    <w:rsid w:val="42C02E48"/>
    <w:rsid w:val="42C32247"/>
    <w:rsid w:val="43C204B5"/>
    <w:rsid w:val="444B4278"/>
    <w:rsid w:val="44735B68"/>
    <w:rsid w:val="44F33C1E"/>
    <w:rsid w:val="451D1CA8"/>
    <w:rsid w:val="452876F7"/>
    <w:rsid w:val="466632B9"/>
    <w:rsid w:val="494B0C80"/>
    <w:rsid w:val="49DE1A07"/>
    <w:rsid w:val="4A687284"/>
    <w:rsid w:val="4B27122F"/>
    <w:rsid w:val="4C03534F"/>
    <w:rsid w:val="4DF530E2"/>
    <w:rsid w:val="4E3175C0"/>
    <w:rsid w:val="4EA154DD"/>
    <w:rsid w:val="4EDE3FBF"/>
    <w:rsid w:val="4EE16FDF"/>
    <w:rsid w:val="4F160EF2"/>
    <w:rsid w:val="4F675FE4"/>
    <w:rsid w:val="4F807B3C"/>
    <w:rsid w:val="502B7D21"/>
    <w:rsid w:val="50D11305"/>
    <w:rsid w:val="51514E43"/>
    <w:rsid w:val="51C06113"/>
    <w:rsid w:val="52275262"/>
    <w:rsid w:val="529742F1"/>
    <w:rsid w:val="53EC1C2A"/>
    <w:rsid w:val="541744FF"/>
    <w:rsid w:val="543001D5"/>
    <w:rsid w:val="553B715D"/>
    <w:rsid w:val="555B4E44"/>
    <w:rsid w:val="55C56267"/>
    <w:rsid w:val="564F795C"/>
    <w:rsid w:val="567F738B"/>
    <w:rsid w:val="569B0F80"/>
    <w:rsid w:val="56F24D7B"/>
    <w:rsid w:val="574270A7"/>
    <w:rsid w:val="58276A12"/>
    <w:rsid w:val="58493EF4"/>
    <w:rsid w:val="59E81B41"/>
    <w:rsid w:val="5C0438B3"/>
    <w:rsid w:val="5C404980"/>
    <w:rsid w:val="5EAA34BD"/>
    <w:rsid w:val="5EF57AB5"/>
    <w:rsid w:val="5F437F7F"/>
    <w:rsid w:val="60333DD8"/>
    <w:rsid w:val="607B0E57"/>
    <w:rsid w:val="615C7A60"/>
    <w:rsid w:val="62173715"/>
    <w:rsid w:val="631317AE"/>
    <w:rsid w:val="637D6F5E"/>
    <w:rsid w:val="643447A0"/>
    <w:rsid w:val="643727BA"/>
    <w:rsid w:val="646F4CEC"/>
    <w:rsid w:val="64C05E08"/>
    <w:rsid w:val="654B17DE"/>
    <w:rsid w:val="65646C5F"/>
    <w:rsid w:val="66415881"/>
    <w:rsid w:val="66CC12D4"/>
    <w:rsid w:val="673E6316"/>
    <w:rsid w:val="67D86473"/>
    <w:rsid w:val="687D3444"/>
    <w:rsid w:val="6A0D389A"/>
    <w:rsid w:val="6A2A2A0D"/>
    <w:rsid w:val="6AA33943"/>
    <w:rsid w:val="6B02530D"/>
    <w:rsid w:val="6B702908"/>
    <w:rsid w:val="6B7B4D2C"/>
    <w:rsid w:val="6C1D72A8"/>
    <w:rsid w:val="6CAE7929"/>
    <w:rsid w:val="6E3F2A5E"/>
    <w:rsid w:val="6F6E07AB"/>
    <w:rsid w:val="6F9207EB"/>
    <w:rsid w:val="6FDF1C1D"/>
    <w:rsid w:val="700317C2"/>
    <w:rsid w:val="703A535B"/>
    <w:rsid w:val="70414665"/>
    <w:rsid w:val="709759C5"/>
    <w:rsid w:val="72221DEA"/>
    <w:rsid w:val="72CE7711"/>
    <w:rsid w:val="7440427E"/>
    <w:rsid w:val="74E70AEC"/>
    <w:rsid w:val="7580266A"/>
    <w:rsid w:val="76527EEA"/>
    <w:rsid w:val="783175BF"/>
    <w:rsid w:val="78CF1553"/>
    <w:rsid w:val="79910ABA"/>
    <w:rsid w:val="79E32ACD"/>
    <w:rsid w:val="7ABF3452"/>
    <w:rsid w:val="7B987D7A"/>
    <w:rsid w:val="7B9E3296"/>
    <w:rsid w:val="7C022A6F"/>
    <w:rsid w:val="7C3F495D"/>
    <w:rsid w:val="7CA1193A"/>
    <w:rsid w:val="7E4D43CD"/>
    <w:rsid w:val="7EF418BB"/>
    <w:rsid w:val="7F2F2F23"/>
    <w:rsid w:val="7F995395"/>
    <w:rsid w:val="7FE5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spacing w:beforeAutospacing="1" w:after="0" w:afterAutospacing="1"/>
      <w:jc w:val="left"/>
      <w:outlineLvl w:val="0"/>
    </w:pPr>
    <w:rPr>
      <w:rFonts w:ascii="SimSun" w:eastAsia="SimSun" w:hAnsi="SimSun"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spacing w:beforeAutospacing="1" w:after="0" w:afterAutospacing="1"/>
      <w:jc w:val="left"/>
      <w:outlineLvl w:val="0"/>
    </w:pPr>
    <w:rPr>
      <w:rFonts w:ascii="SimSun" w:eastAsia="SimSun" w:hAnsi="SimSun"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hyperlink" Target="http://hdr.undp.org/en/content/expected-years-schooling-males-years" TargetMode="External"/><Relationship Id="rId3" Type="http://schemas.openxmlformats.org/officeDocument/2006/relationships/styles" Target="styles.xml"/><Relationship Id="rId21" Type="http://schemas.openxmlformats.org/officeDocument/2006/relationships/hyperlink" Target="http://content.time.com/time/health/article/0,8599,1827162,00.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e-ir.info/2015/03/29/its-a-mans-world-the-effect-of-traditional-masculinity-on-gender-equality/comment-page-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cholarworks.wmich.edu/dissertations/3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terpconnect.umd.edu/afs/glue.umd.edu/home/glue/f/d/fdacunto/pub/papers/DAcunto_Identity_July2015.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papers.ssrn.com/sol3/papers.cfm?abstract_id=2641182" TargetMode="External"/><Relationship Id="rId28" Type="http://schemas.openxmlformats.org/officeDocument/2006/relationships/hyperlink" Target="https://www.nytimes.com/2017/02/23/books/review/testosterone-rex-myths-of-sex-science-and-society-cordelia-fine.html?_r=1"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scholarship.claremont.edu/cgi/viewcontent.cgi?article=1134&amp;context=cmc_thes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laborcenter.berkeley.edu/pdf/2016/NIRS-Women-In-Retirement.pdf" TargetMode="External"/><Relationship Id="rId27" Type="http://schemas.openxmlformats.org/officeDocument/2006/relationships/hyperlink" Target="http://ftp.iza.org/dp1917.pdf" TargetMode="External"/><Relationship Id="rId30" Type="http://schemas.openxmlformats.org/officeDocument/2006/relationships/hyperlink" Target="http://www.lisdatacenter.org/wps/lwswps/1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CD64C-B123-4D14-A647-9B136F1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9112</Words>
  <Characters>53012</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
    </vt:vector>
  </TitlesOfParts>
  <Company>Kingsoft</Company>
  <LinksUpToDate>false</LinksUpToDate>
  <CharactersWithSpaces>62001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Marni Manwarren</cp:lastModifiedBy>
  <cp:revision>2</cp:revision>
  <dcterms:created xsi:type="dcterms:W3CDTF">2017-08-21T15:28:00Z</dcterms:created>
  <dcterms:modified xsi:type="dcterms:W3CDTF">2017-08-21T15:28:00Z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